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E1D95" w14:textId="77777777" w:rsidR="0034408C" w:rsidRPr="0034408C" w:rsidRDefault="0034408C" w:rsidP="0034408C">
      <w:pPr>
        <w:rPr>
          <w:b/>
          <w:bCs/>
          <w:sz w:val="28"/>
          <w:szCs w:val="28"/>
        </w:rPr>
      </w:pPr>
      <w:bookmarkStart w:id="0" w:name="_GoBack"/>
      <w:bookmarkEnd w:id="0"/>
      <w:r w:rsidRPr="0034408C">
        <w:rPr>
          <w:b/>
          <w:bCs/>
          <w:sz w:val="28"/>
          <w:szCs w:val="28"/>
        </w:rPr>
        <w:t>L’accident vasculaire cérébral</w:t>
      </w:r>
    </w:p>
    <w:p w14:paraId="1711D9E3" w14:textId="77777777" w:rsidR="0034408C" w:rsidRPr="0034408C" w:rsidRDefault="0034408C" w:rsidP="0034408C">
      <w:pPr>
        <w:rPr>
          <w:sz w:val="24"/>
          <w:szCs w:val="24"/>
        </w:rPr>
      </w:pPr>
      <w:proofErr w:type="gramStart"/>
      <w:r w:rsidRPr="0034408C">
        <w:rPr>
          <w:sz w:val="24"/>
          <w:szCs w:val="24"/>
        </w:rPr>
        <w:t>mise</w:t>
      </w:r>
      <w:proofErr w:type="gramEnd"/>
      <w:r w:rsidRPr="0034408C">
        <w:rPr>
          <w:sz w:val="24"/>
          <w:szCs w:val="24"/>
        </w:rPr>
        <w:t xml:space="preserve"> à jour</w:t>
      </w:r>
      <w:r w:rsidRPr="0034408C">
        <w:rPr>
          <w:b/>
          <w:bCs/>
          <w:sz w:val="24"/>
          <w:szCs w:val="24"/>
        </w:rPr>
        <w:t>10.09.24</w:t>
      </w:r>
    </w:p>
    <w:p w14:paraId="22E09D94" w14:textId="77777777" w:rsidR="0034408C" w:rsidRPr="0034408C" w:rsidRDefault="0044519B" w:rsidP="0034408C">
      <w:pPr>
        <w:rPr>
          <w:sz w:val="24"/>
          <w:szCs w:val="24"/>
        </w:rPr>
      </w:pPr>
      <w:hyperlink r:id="rId5" w:history="1">
        <w:proofErr w:type="spellStart"/>
        <w:r w:rsidR="0034408C" w:rsidRPr="0034408C">
          <w:rPr>
            <w:rStyle w:val="Lienhypertexte"/>
            <w:b/>
            <w:bCs/>
            <w:sz w:val="24"/>
            <w:szCs w:val="24"/>
          </w:rPr>
          <w:t>Handicap</w:t>
        </w:r>
      </w:hyperlink>
      <w:hyperlink r:id="rId6" w:history="1">
        <w:r w:rsidR="0034408C" w:rsidRPr="0034408C">
          <w:rPr>
            <w:rStyle w:val="Lienhypertexte"/>
            <w:b/>
            <w:bCs/>
            <w:sz w:val="24"/>
            <w:szCs w:val="24"/>
          </w:rPr>
          <w:t>Maladies</w:t>
        </w:r>
      </w:hyperlink>
      <w:hyperlink r:id="rId7" w:history="1">
        <w:r w:rsidR="0034408C" w:rsidRPr="0034408C">
          <w:rPr>
            <w:rStyle w:val="Lienhypertexte"/>
            <w:b/>
            <w:bCs/>
            <w:sz w:val="24"/>
            <w:szCs w:val="24"/>
          </w:rPr>
          <w:t>Prévention</w:t>
        </w:r>
        <w:proofErr w:type="spellEnd"/>
        <w:r w:rsidR="0034408C" w:rsidRPr="0034408C">
          <w:rPr>
            <w:rStyle w:val="Lienhypertexte"/>
            <w:b/>
            <w:bCs/>
            <w:sz w:val="24"/>
            <w:szCs w:val="24"/>
          </w:rPr>
          <w:t xml:space="preserve"> en </w:t>
        </w:r>
        <w:proofErr w:type="spellStart"/>
        <w:r w:rsidR="0034408C" w:rsidRPr="0034408C">
          <w:rPr>
            <w:rStyle w:val="Lienhypertexte"/>
            <w:b/>
            <w:bCs/>
            <w:sz w:val="24"/>
            <w:szCs w:val="24"/>
          </w:rPr>
          <w:t>santé</w:t>
        </w:r>
      </w:hyperlink>
      <w:hyperlink r:id="rId8" w:history="1">
        <w:r w:rsidR="0034408C" w:rsidRPr="0034408C">
          <w:rPr>
            <w:rStyle w:val="Lienhypertexte"/>
            <w:b/>
            <w:bCs/>
            <w:sz w:val="24"/>
            <w:szCs w:val="24"/>
          </w:rPr>
          <w:t>Social</w:t>
        </w:r>
        <w:proofErr w:type="spellEnd"/>
        <w:r w:rsidR="0034408C" w:rsidRPr="0034408C">
          <w:rPr>
            <w:rStyle w:val="Lienhypertexte"/>
            <w:b/>
            <w:bCs/>
            <w:sz w:val="24"/>
            <w:szCs w:val="24"/>
          </w:rPr>
          <w:t>, Solidarités</w:t>
        </w:r>
      </w:hyperlink>
    </w:p>
    <w:p w14:paraId="00217A0C" w14:textId="77777777" w:rsidR="0034408C" w:rsidRPr="0034408C" w:rsidRDefault="0034408C" w:rsidP="0034408C">
      <w:pPr>
        <w:rPr>
          <w:sz w:val="24"/>
          <w:szCs w:val="24"/>
        </w:rPr>
      </w:pPr>
      <w:r w:rsidRPr="0034408C">
        <w:rPr>
          <w:sz w:val="24"/>
          <w:szCs w:val="24"/>
        </w:rPr>
        <w:t>L’</w:t>
      </w:r>
      <w:r w:rsidRPr="0034408C">
        <w:rPr>
          <w:b/>
          <w:bCs/>
          <w:sz w:val="24"/>
          <w:szCs w:val="24"/>
        </w:rPr>
        <w:t>accident vasculaire cérébral (AVC)</w:t>
      </w:r>
      <w:r w:rsidRPr="0034408C">
        <w:rPr>
          <w:sz w:val="24"/>
          <w:szCs w:val="24"/>
        </w:rPr>
        <w:t>, est une pathologie fréquente, grave, à l’origine de nombreuses hospitalisations, handicaps et décès. Il peut survenir à tout âge, plus souvent avec l’avancée en âge.</w:t>
      </w:r>
    </w:p>
    <w:p w14:paraId="1F53D4AF" w14:textId="77777777" w:rsidR="0034408C" w:rsidRPr="0034408C" w:rsidRDefault="0034408C" w:rsidP="0034408C">
      <w:pPr>
        <w:rPr>
          <w:sz w:val="24"/>
          <w:szCs w:val="24"/>
        </w:rPr>
      </w:pPr>
      <w:r w:rsidRPr="0034408C">
        <w:rPr>
          <w:sz w:val="24"/>
          <w:szCs w:val="24"/>
        </w:rPr>
        <w:t>Une prise en charge médicale spécialisée en urgence et la plus précoce possible vise à éviter les complications et limiter les séquelles. Connaitre les symptômes de l’AVC et réagir pour lancer l’alerte est indispensable : chacun peut agir.</w:t>
      </w:r>
    </w:p>
    <w:p w14:paraId="6E130B80" w14:textId="77777777" w:rsidR="0034408C" w:rsidRPr="0034408C" w:rsidRDefault="0034408C" w:rsidP="0034408C">
      <w:pPr>
        <w:rPr>
          <w:sz w:val="24"/>
          <w:szCs w:val="24"/>
        </w:rPr>
      </w:pPr>
      <w:r w:rsidRPr="0034408C">
        <w:rPr>
          <w:sz w:val="24"/>
          <w:szCs w:val="24"/>
        </w:rPr>
        <w:t>La prise en charge de l’AVC repose sur une filière de soins : de l’alerte, à la prise en charge spécialisée jusqu’à la rééducation / réadaptation et retour à domicile.</w:t>
      </w:r>
    </w:p>
    <w:p w14:paraId="6BAD1220" w14:textId="77777777" w:rsidR="0034408C" w:rsidRPr="0034408C" w:rsidRDefault="0034408C" w:rsidP="0034408C">
      <w:pPr>
        <w:rPr>
          <w:sz w:val="24"/>
          <w:szCs w:val="24"/>
        </w:rPr>
      </w:pPr>
      <w:r w:rsidRPr="0034408C">
        <w:rPr>
          <w:sz w:val="24"/>
          <w:szCs w:val="24"/>
        </w:rPr>
        <w:t>L’enjeu de prévention est considérable : réduire le risque de séquelles, agir sur les facteurs de risque d’AVC, fréquents, évitables ou modifiables.</w:t>
      </w:r>
    </w:p>
    <w:p w14:paraId="699D53BA" w14:textId="3115B4F2" w:rsidR="0034408C" w:rsidRPr="0034408C" w:rsidRDefault="0034408C" w:rsidP="0034408C">
      <w:pPr>
        <w:rPr>
          <w:b/>
          <w:bCs/>
          <w:sz w:val="24"/>
          <w:szCs w:val="24"/>
        </w:rPr>
      </w:pPr>
      <w:r w:rsidRPr="0034408C">
        <w:rPr>
          <w:b/>
          <w:bCs/>
          <w:noProof/>
          <w:sz w:val="24"/>
          <w:szCs w:val="24"/>
          <w:lang w:eastAsia="fr-FR"/>
        </w:rPr>
        <w:drawing>
          <wp:inline distT="0" distB="0" distL="0" distR="0" wp14:anchorId="41FC695E" wp14:editId="78F02DB0">
            <wp:extent cx="5760720" cy="2938145"/>
            <wp:effectExtent l="0" t="0" r="0" b="0"/>
            <wp:docPr id="197888946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938145"/>
                    </a:xfrm>
                    <a:prstGeom prst="rect">
                      <a:avLst/>
                    </a:prstGeom>
                    <a:noFill/>
                    <a:ln>
                      <a:noFill/>
                    </a:ln>
                  </pic:spPr>
                </pic:pic>
              </a:graphicData>
            </a:graphic>
          </wp:inline>
        </w:drawing>
      </w:r>
    </w:p>
    <w:p w14:paraId="53A1FB62" w14:textId="77777777" w:rsidR="0034408C" w:rsidRPr="0034408C" w:rsidRDefault="0034408C" w:rsidP="0034408C">
      <w:pPr>
        <w:rPr>
          <w:sz w:val="24"/>
          <w:szCs w:val="24"/>
        </w:rPr>
      </w:pPr>
      <w:r w:rsidRPr="0034408C">
        <w:rPr>
          <w:sz w:val="24"/>
          <w:szCs w:val="24"/>
        </w:rPr>
        <w:t> </w:t>
      </w:r>
    </w:p>
    <w:p w14:paraId="0835BF43" w14:textId="77777777" w:rsidR="0034408C" w:rsidRPr="0034408C" w:rsidRDefault="0034408C" w:rsidP="0034408C">
      <w:pPr>
        <w:rPr>
          <w:sz w:val="24"/>
          <w:szCs w:val="24"/>
        </w:rPr>
      </w:pPr>
      <w:r w:rsidRPr="0034408C">
        <w:rPr>
          <w:sz w:val="24"/>
          <w:szCs w:val="24"/>
        </w:rPr>
        <w:t>L’</w:t>
      </w:r>
      <w:r w:rsidRPr="0034408C">
        <w:rPr>
          <w:b/>
          <w:bCs/>
          <w:sz w:val="24"/>
          <w:szCs w:val="24"/>
        </w:rPr>
        <w:t>accident vasculaire cérébral (AVC)</w:t>
      </w:r>
      <w:r w:rsidRPr="0034408C">
        <w:rPr>
          <w:sz w:val="24"/>
          <w:szCs w:val="24"/>
        </w:rPr>
        <w:t>, souvent appelé « attaque cérébrale », est une lésion brutale d’une partie du cerveau due à l’interruption de circulation du sang dans le cerveau, par obstruction ou par rupture d’un vaisseau sanguin.</w:t>
      </w:r>
    </w:p>
    <w:p w14:paraId="10F72CF5" w14:textId="77777777" w:rsidR="0034408C" w:rsidRPr="0034408C" w:rsidRDefault="0034408C" w:rsidP="0034408C">
      <w:pPr>
        <w:rPr>
          <w:sz w:val="24"/>
          <w:szCs w:val="24"/>
        </w:rPr>
      </w:pPr>
      <w:r w:rsidRPr="0034408C">
        <w:rPr>
          <w:sz w:val="24"/>
          <w:szCs w:val="24"/>
        </w:rPr>
        <w:t>L’AVC est l’une des premières causes de décès (plus de 30 000 par an), responsable d’environ 120 000 hospitalisations par an, et première cause de handicap acquis de l’adulte.</w:t>
      </w:r>
    </w:p>
    <w:p w14:paraId="75846EA5" w14:textId="77777777" w:rsidR="0034408C" w:rsidRPr="0034408C" w:rsidRDefault="0034408C" w:rsidP="0034408C">
      <w:pPr>
        <w:rPr>
          <w:b/>
          <w:bCs/>
          <w:sz w:val="24"/>
          <w:szCs w:val="24"/>
        </w:rPr>
      </w:pPr>
      <w:r w:rsidRPr="0034408C">
        <w:rPr>
          <w:b/>
          <w:bCs/>
          <w:sz w:val="24"/>
          <w:szCs w:val="24"/>
        </w:rPr>
        <w:t>L’AVC est une urgence médicale</w:t>
      </w:r>
    </w:p>
    <w:p w14:paraId="7495A042" w14:textId="77777777" w:rsidR="0034408C" w:rsidRPr="0034408C" w:rsidRDefault="0034408C" w:rsidP="0034408C">
      <w:pPr>
        <w:rPr>
          <w:sz w:val="24"/>
          <w:szCs w:val="24"/>
        </w:rPr>
      </w:pPr>
      <w:r w:rsidRPr="0034408C">
        <w:rPr>
          <w:sz w:val="24"/>
          <w:szCs w:val="24"/>
        </w:rPr>
        <w:t>L’AVC est une course contre la montre : une prise en charge rapide réduit le risque de séquelles. Dès l’apparition des premiers symptômes, l’appel rapide aux services de secours permet de mettre en œuvre les traitements désobstructifs pour rétablir la circulation sanguine.</w:t>
      </w:r>
    </w:p>
    <w:p w14:paraId="2B31E89B" w14:textId="77777777" w:rsidR="0034408C" w:rsidRPr="0034408C" w:rsidRDefault="0034408C" w:rsidP="0034408C">
      <w:pPr>
        <w:rPr>
          <w:sz w:val="24"/>
          <w:szCs w:val="24"/>
        </w:rPr>
      </w:pPr>
      <w:r w:rsidRPr="0034408C">
        <w:rPr>
          <w:sz w:val="24"/>
          <w:szCs w:val="24"/>
        </w:rPr>
        <w:t>La </w:t>
      </w:r>
      <w:r w:rsidRPr="0034408C">
        <w:rPr>
          <w:b/>
          <w:bCs/>
          <w:sz w:val="24"/>
          <w:szCs w:val="24"/>
        </w:rPr>
        <w:t>prise en charge immédiate de l’AVC repose sur des filières de soins spécialisées</w:t>
      </w:r>
      <w:r w:rsidRPr="0034408C">
        <w:rPr>
          <w:sz w:val="24"/>
          <w:szCs w:val="24"/>
        </w:rPr>
        <w:t>, notamment les unités neurovasculaires déployées sur tout le territoire.</w:t>
      </w:r>
    </w:p>
    <w:p w14:paraId="34B55A0D" w14:textId="77777777" w:rsidR="0034408C" w:rsidRPr="0034408C" w:rsidRDefault="0034408C" w:rsidP="0034408C">
      <w:pPr>
        <w:rPr>
          <w:sz w:val="24"/>
          <w:szCs w:val="24"/>
        </w:rPr>
      </w:pPr>
      <w:r w:rsidRPr="0034408C">
        <w:rPr>
          <w:sz w:val="24"/>
          <w:szCs w:val="24"/>
        </w:rPr>
        <w:t>Après la phase d’urgence, des soins médicaux de réadaptation sont souvent nécessaires pour prendre en charge des séquelles, préparer le retour à domicile et la réinsertion, et prévenir le risque de récidive.</w:t>
      </w:r>
    </w:p>
    <w:p w14:paraId="2C4C7319" w14:textId="77777777" w:rsidR="0034408C" w:rsidRPr="0034408C" w:rsidRDefault="0034408C" w:rsidP="0034408C">
      <w:pPr>
        <w:rPr>
          <w:b/>
          <w:bCs/>
          <w:sz w:val="24"/>
          <w:szCs w:val="24"/>
        </w:rPr>
      </w:pPr>
      <w:r w:rsidRPr="0034408C">
        <w:rPr>
          <w:b/>
          <w:bCs/>
          <w:sz w:val="24"/>
          <w:szCs w:val="24"/>
        </w:rPr>
        <w:lastRenderedPageBreak/>
        <w:t>La prévention est un enjeu considérable et repose sur des leviers multiples</w:t>
      </w:r>
    </w:p>
    <w:p w14:paraId="0BE85FC6" w14:textId="77777777" w:rsidR="0034408C" w:rsidRPr="0034408C" w:rsidRDefault="0034408C" w:rsidP="0034408C">
      <w:pPr>
        <w:rPr>
          <w:sz w:val="24"/>
          <w:szCs w:val="24"/>
        </w:rPr>
      </w:pPr>
      <w:r w:rsidRPr="0034408C">
        <w:rPr>
          <w:sz w:val="24"/>
          <w:szCs w:val="24"/>
        </w:rPr>
        <w:t>La plupart des AVC de l’adulte sont associés à des facteurs de risque évitables. On peut réduire le risque de survenue ou de récidive d’AVC en agissant sur différents facteurs modifiables :</w:t>
      </w:r>
    </w:p>
    <w:p w14:paraId="6CAEF2AA" w14:textId="77777777" w:rsidR="0034408C" w:rsidRPr="0034408C" w:rsidRDefault="0034408C" w:rsidP="0034408C">
      <w:pPr>
        <w:numPr>
          <w:ilvl w:val="0"/>
          <w:numId w:val="3"/>
        </w:numPr>
        <w:rPr>
          <w:sz w:val="24"/>
          <w:szCs w:val="24"/>
        </w:rPr>
      </w:pPr>
      <w:r w:rsidRPr="0034408C">
        <w:rPr>
          <w:sz w:val="24"/>
          <w:szCs w:val="24"/>
        </w:rPr>
        <w:t>Des facteurs de risque métaboliques comme l’hypertension artérielle, l’obésité, le diabète ;</w:t>
      </w:r>
    </w:p>
    <w:p w14:paraId="0EA04565" w14:textId="77777777" w:rsidR="0034408C" w:rsidRPr="0034408C" w:rsidRDefault="0034408C" w:rsidP="0034408C">
      <w:pPr>
        <w:numPr>
          <w:ilvl w:val="0"/>
          <w:numId w:val="3"/>
        </w:numPr>
        <w:rPr>
          <w:sz w:val="24"/>
          <w:szCs w:val="24"/>
        </w:rPr>
      </w:pPr>
      <w:r w:rsidRPr="0034408C">
        <w:rPr>
          <w:sz w:val="24"/>
          <w:szCs w:val="24"/>
        </w:rPr>
        <w:t>Des habitudes de vie comme le tabagisme, la consommation excessive d’alcool, la sédentarité, le stress ;</w:t>
      </w:r>
    </w:p>
    <w:p w14:paraId="3592DAE1" w14:textId="77777777" w:rsidR="0034408C" w:rsidRPr="0034408C" w:rsidRDefault="0034408C" w:rsidP="0034408C">
      <w:pPr>
        <w:numPr>
          <w:ilvl w:val="0"/>
          <w:numId w:val="3"/>
        </w:numPr>
        <w:rPr>
          <w:sz w:val="24"/>
          <w:szCs w:val="24"/>
        </w:rPr>
      </w:pPr>
      <w:r w:rsidRPr="0034408C">
        <w:rPr>
          <w:sz w:val="24"/>
          <w:szCs w:val="24"/>
        </w:rPr>
        <w:t>Un trouble du rythme cardiaque, un trouble de la coagulation ;</w:t>
      </w:r>
    </w:p>
    <w:p w14:paraId="5DE3C380" w14:textId="77777777" w:rsidR="0034408C" w:rsidRPr="0034408C" w:rsidRDefault="0034408C" w:rsidP="0034408C">
      <w:pPr>
        <w:numPr>
          <w:ilvl w:val="0"/>
          <w:numId w:val="3"/>
        </w:numPr>
        <w:rPr>
          <w:sz w:val="24"/>
          <w:szCs w:val="24"/>
        </w:rPr>
      </w:pPr>
      <w:r w:rsidRPr="0034408C">
        <w:rPr>
          <w:sz w:val="24"/>
          <w:szCs w:val="24"/>
        </w:rPr>
        <w:t>Des facteurs environnementaux comme la pollution atmosphérique.</w:t>
      </w:r>
    </w:p>
    <w:p w14:paraId="05CFF692" w14:textId="77777777" w:rsidR="0034408C" w:rsidRPr="0034408C" w:rsidRDefault="0034408C" w:rsidP="0034408C">
      <w:pPr>
        <w:rPr>
          <w:sz w:val="24"/>
          <w:szCs w:val="24"/>
        </w:rPr>
      </w:pPr>
      <w:r w:rsidRPr="0034408C">
        <w:rPr>
          <w:sz w:val="24"/>
          <w:szCs w:val="24"/>
        </w:rPr>
        <w:t>Après un premier AVC, le risque de récidive peut être réduit par une prévention précoce.</w:t>
      </w:r>
    </w:p>
    <w:p w14:paraId="1632F630" w14:textId="77777777" w:rsidR="0034408C" w:rsidRPr="0034408C" w:rsidRDefault="0034408C" w:rsidP="0034408C">
      <w:pPr>
        <w:rPr>
          <w:b/>
          <w:bCs/>
          <w:sz w:val="24"/>
          <w:szCs w:val="24"/>
        </w:rPr>
      </w:pPr>
      <w:r w:rsidRPr="0034408C">
        <w:rPr>
          <w:b/>
          <w:bCs/>
          <w:sz w:val="24"/>
          <w:szCs w:val="24"/>
        </w:rPr>
        <w:t>Liens utiles</w:t>
      </w:r>
    </w:p>
    <w:p w14:paraId="3C1B5D4A" w14:textId="77777777" w:rsidR="0034408C" w:rsidRPr="0034408C" w:rsidRDefault="0044519B" w:rsidP="0034408C">
      <w:pPr>
        <w:rPr>
          <w:sz w:val="24"/>
          <w:szCs w:val="24"/>
        </w:rPr>
      </w:pPr>
      <w:hyperlink r:id="rId10" w:tgtFrame="_blank" w:tooltip="Santé publique France (nouvelle fenêtre)" w:history="1">
        <w:r w:rsidR="0034408C" w:rsidRPr="0034408C">
          <w:rPr>
            <w:rStyle w:val="Lienhypertexte"/>
            <w:sz w:val="24"/>
            <w:szCs w:val="24"/>
          </w:rPr>
          <w:t>Santé publique France</w:t>
        </w:r>
      </w:hyperlink>
      <w:r w:rsidR="0034408C" w:rsidRPr="0034408C">
        <w:rPr>
          <w:sz w:val="24"/>
          <w:szCs w:val="24"/>
        </w:rPr>
        <w:br/>
      </w:r>
      <w:hyperlink r:id="rId11" w:tgtFrame="_blank" w:tooltip="Fédération France AVC (nouvelle fenêtre)" w:history="1">
        <w:r w:rsidR="0034408C" w:rsidRPr="0034408C">
          <w:rPr>
            <w:rStyle w:val="Lienhypertexte"/>
            <w:sz w:val="24"/>
            <w:szCs w:val="24"/>
          </w:rPr>
          <w:t>Fédération France AVC</w:t>
        </w:r>
      </w:hyperlink>
      <w:r w:rsidR="0034408C" w:rsidRPr="0034408C">
        <w:rPr>
          <w:sz w:val="24"/>
          <w:szCs w:val="24"/>
        </w:rPr>
        <w:br/>
      </w:r>
      <w:hyperlink r:id="rId12" w:tgtFrame="_blank" w:tooltip="Fédération nationale d’aphasiques de France (nouvelle fenêtre)" w:history="1">
        <w:r w:rsidR="0034408C" w:rsidRPr="0034408C">
          <w:rPr>
            <w:rStyle w:val="Lienhypertexte"/>
            <w:sz w:val="24"/>
            <w:szCs w:val="24"/>
          </w:rPr>
          <w:t>Fédération nationale d’aphasiques de France</w:t>
        </w:r>
      </w:hyperlink>
      <w:r w:rsidR="0034408C" w:rsidRPr="0034408C">
        <w:rPr>
          <w:sz w:val="24"/>
          <w:szCs w:val="24"/>
        </w:rPr>
        <w:br/>
      </w:r>
      <w:hyperlink r:id="rId13" w:tgtFrame="_blank" w:tooltip="Société française neurovasculaire (nouvelle fenêtre)" w:history="1">
        <w:r w:rsidR="0034408C" w:rsidRPr="0034408C">
          <w:rPr>
            <w:rStyle w:val="Lienhypertexte"/>
            <w:sz w:val="24"/>
            <w:szCs w:val="24"/>
          </w:rPr>
          <w:t>Société française neurovasculaire</w:t>
        </w:r>
      </w:hyperlink>
    </w:p>
    <w:p w14:paraId="00D6AF29" w14:textId="77777777" w:rsidR="0034408C" w:rsidRPr="0034408C" w:rsidRDefault="0034408C" w:rsidP="0034408C">
      <w:pPr>
        <w:rPr>
          <w:sz w:val="24"/>
          <w:szCs w:val="24"/>
        </w:rPr>
      </w:pPr>
      <w:r w:rsidRPr="0034408C">
        <w:rPr>
          <w:sz w:val="24"/>
          <w:szCs w:val="24"/>
        </w:rPr>
        <w:br/>
      </w:r>
    </w:p>
    <w:p w14:paraId="470A721D" w14:textId="77777777" w:rsidR="0034408C" w:rsidRPr="0034408C" w:rsidRDefault="0034408C" w:rsidP="0034408C">
      <w:pPr>
        <w:rPr>
          <w:sz w:val="24"/>
          <w:szCs w:val="24"/>
        </w:rPr>
      </w:pPr>
      <w:r w:rsidRPr="0034408C">
        <w:rPr>
          <w:sz w:val="24"/>
          <w:szCs w:val="24"/>
        </w:rPr>
        <w:t> </w:t>
      </w:r>
    </w:p>
    <w:p w14:paraId="76C8A18B" w14:textId="0F1F6293" w:rsidR="0034408C" w:rsidRPr="0034408C" w:rsidRDefault="0034408C" w:rsidP="0034408C">
      <w:pPr>
        <w:rPr>
          <w:b/>
          <w:bCs/>
          <w:sz w:val="24"/>
          <w:szCs w:val="24"/>
        </w:rPr>
      </w:pPr>
      <w:r w:rsidRPr="0034408C">
        <w:rPr>
          <w:b/>
          <w:bCs/>
          <w:noProof/>
          <w:sz w:val="24"/>
          <w:szCs w:val="24"/>
          <w:lang w:eastAsia="fr-FR"/>
        </w:rPr>
        <w:drawing>
          <wp:inline distT="0" distB="0" distL="0" distR="0" wp14:anchorId="0B63039C" wp14:editId="5D11CE2C">
            <wp:extent cx="5760720" cy="2880360"/>
            <wp:effectExtent l="0" t="0" r="0" b="0"/>
            <wp:docPr id="328334234" name="Image 1">
              <a:hlinkClick xmlns:a="http://schemas.openxmlformats.org/drawingml/2006/main" r:id="rId14" tooltip="&quot; JPEG - 151.4 k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4" tooltip="&quot; JPEG - 151.4 ki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14:paraId="1E1E0DAE" w14:textId="77777777" w:rsidR="00BC62FA" w:rsidRPr="0034408C" w:rsidRDefault="00BC62FA">
      <w:pPr>
        <w:rPr>
          <w:sz w:val="24"/>
          <w:szCs w:val="24"/>
        </w:rPr>
      </w:pPr>
    </w:p>
    <w:sectPr w:rsidR="00BC62FA" w:rsidRPr="0034408C" w:rsidSect="003440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6B7"/>
    <w:multiLevelType w:val="multilevel"/>
    <w:tmpl w:val="4A84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102EC"/>
    <w:multiLevelType w:val="multilevel"/>
    <w:tmpl w:val="83E2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2E786E"/>
    <w:multiLevelType w:val="multilevel"/>
    <w:tmpl w:val="ABEC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8C"/>
    <w:rsid w:val="0034408C"/>
    <w:rsid w:val="0044519B"/>
    <w:rsid w:val="00A6297B"/>
    <w:rsid w:val="00A72974"/>
    <w:rsid w:val="00BC62FA"/>
    <w:rsid w:val="00E33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0CFC"/>
  <w15:chartTrackingRefBased/>
  <w15:docId w15:val="{A52C8EF6-2970-405C-A40B-4F26360E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440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440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4408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4408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4408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4408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408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408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408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408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4408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4408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4408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4408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440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40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40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408C"/>
    <w:rPr>
      <w:rFonts w:eastAsiaTheme="majorEastAsia" w:cstheme="majorBidi"/>
      <w:color w:val="272727" w:themeColor="text1" w:themeTint="D8"/>
    </w:rPr>
  </w:style>
  <w:style w:type="paragraph" w:styleId="Titre">
    <w:name w:val="Title"/>
    <w:basedOn w:val="Normal"/>
    <w:next w:val="Normal"/>
    <w:link w:val="TitreCar"/>
    <w:uiPriority w:val="10"/>
    <w:qFormat/>
    <w:rsid w:val="00344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40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408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40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408C"/>
    <w:pPr>
      <w:spacing w:before="160"/>
      <w:jc w:val="center"/>
    </w:pPr>
    <w:rPr>
      <w:i/>
      <w:iCs/>
      <w:color w:val="404040" w:themeColor="text1" w:themeTint="BF"/>
    </w:rPr>
  </w:style>
  <w:style w:type="character" w:customStyle="1" w:styleId="CitationCar">
    <w:name w:val="Citation Car"/>
    <w:basedOn w:val="Policepardfaut"/>
    <w:link w:val="Citation"/>
    <w:uiPriority w:val="29"/>
    <w:rsid w:val="0034408C"/>
    <w:rPr>
      <w:i/>
      <w:iCs/>
      <w:color w:val="404040" w:themeColor="text1" w:themeTint="BF"/>
    </w:rPr>
  </w:style>
  <w:style w:type="paragraph" w:styleId="Paragraphedeliste">
    <w:name w:val="List Paragraph"/>
    <w:basedOn w:val="Normal"/>
    <w:uiPriority w:val="34"/>
    <w:qFormat/>
    <w:rsid w:val="0034408C"/>
    <w:pPr>
      <w:ind w:left="720"/>
      <w:contextualSpacing/>
    </w:pPr>
  </w:style>
  <w:style w:type="character" w:styleId="Emphaseintense">
    <w:name w:val="Intense Emphasis"/>
    <w:basedOn w:val="Policepardfaut"/>
    <w:uiPriority w:val="21"/>
    <w:qFormat/>
    <w:rsid w:val="0034408C"/>
    <w:rPr>
      <w:i/>
      <w:iCs/>
      <w:color w:val="2F5496" w:themeColor="accent1" w:themeShade="BF"/>
    </w:rPr>
  </w:style>
  <w:style w:type="paragraph" w:styleId="Citationintense">
    <w:name w:val="Intense Quote"/>
    <w:basedOn w:val="Normal"/>
    <w:next w:val="Normal"/>
    <w:link w:val="CitationintenseCar"/>
    <w:uiPriority w:val="30"/>
    <w:qFormat/>
    <w:rsid w:val="00344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4408C"/>
    <w:rPr>
      <w:i/>
      <w:iCs/>
      <w:color w:val="2F5496" w:themeColor="accent1" w:themeShade="BF"/>
    </w:rPr>
  </w:style>
  <w:style w:type="character" w:styleId="Rfrenceintense">
    <w:name w:val="Intense Reference"/>
    <w:basedOn w:val="Policepardfaut"/>
    <w:uiPriority w:val="32"/>
    <w:qFormat/>
    <w:rsid w:val="0034408C"/>
    <w:rPr>
      <w:b/>
      <w:bCs/>
      <w:smallCaps/>
      <w:color w:val="2F5496" w:themeColor="accent1" w:themeShade="BF"/>
      <w:spacing w:val="5"/>
    </w:rPr>
  </w:style>
  <w:style w:type="character" w:styleId="Lienhypertexte">
    <w:name w:val="Hyperlink"/>
    <w:basedOn w:val="Policepardfaut"/>
    <w:uiPriority w:val="99"/>
    <w:unhideWhenUsed/>
    <w:rsid w:val="0034408C"/>
    <w:rPr>
      <w:color w:val="0563C1" w:themeColor="hyperlink"/>
      <w:u w:val="single"/>
    </w:rPr>
  </w:style>
  <w:style w:type="character" w:customStyle="1" w:styleId="UnresolvedMention">
    <w:name w:val="Unresolved Mention"/>
    <w:basedOn w:val="Policepardfaut"/>
    <w:uiPriority w:val="99"/>
    <w:semiHidden/>
    <w:unhideWhenUsed/>
    <w:rsid w:val="00344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170518">
      <w:bodyDiv w:val="1"/>
      <w:marLeft w:val="0"/>
      <w:marRight w:val="0"/>
      <w:marTop w:val="0"/>
      <w:marBottom w:val="0"/>
      <w:divBdr>
        <w:top w:val="none" w:sz="0" w:space="0" w:color="auto"/>
        <w:left w:val="none" w:sz="0" w:space="0" w:color="auto"/>
        <w:bottom w:val="none" w:sz="0" w:space="0" w:color="auto"/>
        <w:right w:val="none" w:sz="0" w:space="0" w:color="auto"/>
      </w:divBdr>
      <w:divsChild>
        <w:div w:id="1658419701">
          <w:marLeft w:val="0"/>
          <w:marRight w:val="0"/>
          <w:marTop w:val="0"/>
          <w:marBottom w:val="0"/>
          <w:divBdr>
            <w:top w:val="none" w:sz="0" w:space="0" w:color="auto"/>
            <w:left w:val="none" w:sz="0" w:space="0" w:color="auto"/>
            <w:bottom w:val="none" w:sz="0" w:space="0" w:color="auto"/>
            <w:right w:val="none" w:sz="0" w:space="0" w:color="auto"/>
          </w:divBdr>
        </w:div>
        <w:div w:id="1661343991">
          <w:marLeft w:val="0"/>
          <w:marRight w:val="0"/>
          <w:marTop w:val="0"/>
          <w:marBottom w:val="0"/>
          <w:divBdr>
            <w:top w:val="none" w:sz="0" w:space="0" w:color="auto"/>
            <w:left w:val="none" w:sz="0" w:space="0" w:color="auto"/>
            <w:bottom w:val="none" w:sz="0" w:space="0" w:color="auto"/>
            <w:right w:val="none" w:sz="0" w:space="0" w:color="auto"/>
          </w:divBdr>
        </w:div>
        <w:div w:id="293023371">
          <w:marLeft w:val="0"/>
          <w:marRight w:val="0"/>
          <w:marTop w:val="0"/>
          <w:marBottom w:val="0"/>
          <w:divBdr>
            <w:top w:val="none" w:sz="0" w:space="0" w:color="auto"/>
            <w:left w:val="none" w:sz="0" w:space="0" w:color="auto"/>
            <w:bottom w:val="none" w:sz="0" w:space="0" w:color="auto"/>
            <w:right w:val="none" w:sz="0" w:space="0" w:color="auto"/>
          </w:divBdr>
        </w:div>
        <w:div w:id="237862256">
          <w:marLeft w:val="0"/>
          <w:marRight w:val="0"/>
          <w:marTop w:val="0"/>
          <w:marBottom w:val="0"/>
          <w:divBdr>
            <w:top w:val="none" w:sz="0" w:space="0" w:color="auto"/>
            <w:left w:val="none" w:sz="0" w:space="0" w:color="auto"/>
            <w:bottom w:val="none" w:sz="0" w:space="0" w:color="auto"/>
            <w:right w:val="none" w:sz="0" w:space="0" w:color="auto"/>
          </w:divBdr>
        </w:div>
        <w:div w:id="122237470">
          <w:marLeft w:val="0"/>
          <w:marRight w:val="0"/>
          <w:marTop w:val="0"/>
          <w:marBottom w:val="0"/>
          <w:divBdr>
            <w:top w:val="none" w:sz="0" w:space="0" w:color="auto"/>
            <w:left w:val="none" w:sz="0" w:space="0" w:color="auto"/>
            <w:bottom w:val="none" w:sz="0" w:space="0" w:color="auto"/>
            <w:right w:val="none" w:sz="0" w:space="0" w:color="auto"/>
          </w:divBdr>
          <w:divsChild>
            <w:div w:id="511184734">
              <w:blockQuote w:val="1"/>
              <w:marLeft w:val="0"/>
              <w:marRight w:val="0"/>
              <w:marTop w:val="0"/>
              <w:marBottom w:val="300"/>
              <w:divBdr>
                <w:top w:val="none" w:sz="0" w:space="0" w:color="auto"/>
                <w:left w:val="single" w:sz="36" w:space="31" w:color="000091"/>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gouv.fr/mot/social-solidarites" TargetMode="External"/><Relationship Id="rId13" Type="http://schemas.openxmlformats.org/officeDocument/2006/relationships/hyperlink" Target="http://www.societe-francaise-neurovasculaire.fr/" TargetMode="External"/><Relationship Id="rId3" Type="http://schemas.openxmlformats.org/officeDocument/2006/relationships/settings" Target="settings.xml"/><Relationship Id="rId7" Type="http://schemas.openxmlformats.org/officeDocument/2006/relationships/hyperlink" Target="https://sante.gouv.fr/mot/prevention-en-sante-1024" TargetMode="External"/><Relationship Id="rId12" Type="http://schemas.openxmlformats.org/officeDocument/2006/relationships/hyperlink" Target="http://www.aphasie.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ante.gouv.fr/mot/maladies" TargetMode="External"/><Relationship Id="rId11" Type="http://schemas.openxmlformats.org/officeDocument/2006/relationships/hyperlink" Target="http://www.franceavc.com/" TargetMode="External"/><Relationship Id="rId5" Type="http://schemas.openxmlformats.org/officeDocument/2006/relationships/hyperlink" Target="https://sante.gouv.fr/mot/handicap-1039" TargetMode="External"/><Relationship Id="rId15" Type="http://schemas.openxmlformats.org/officeDocument/2006/relationships/image" Target="media/image2.jpeg"/><Relationship Id="rId10" Type="http://schemas.openxmlformats.org/officeDocument/2006/relationships/hyperlink" Target="https://www.santepubliquefrance.fr/maladies-et-traumatismes/maladies-cardiovasculaires-et-accident-vasculaire-cerebral/accident-vasculaire-cerebra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ante.gouv.fr/IMG/jpg/infographie_avc1.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3036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Sala</dc:creator>
  <cp:keywords/>
  <dc:description/>
  <cp:lastModifiedBy>Francis</cp:lastModifiedBy>
  <cp:revision>2</cp:revision>
  <dcterms:created xsi:type="dcterms:W3CDTF">2025-05-23T16:57:00Z</dcterms:created>
  <dcterms:modified xsi:type="dcterms:W3CDTF">2025-05-23T16:57:00Z</dcterms:modified>
</cp:coreProperties>
</file>