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DBD53" w14:textId="77777777" w:rsidR="001C4FA1" w:rsidRPr="001C4FA1" w:rsidRDefault="001C4FA1" w:rsidP="001C4FA1">
      <w:pPr>
        <w:shd w:val="clear" w:color="auto" w:fill="FFFFFF"/>
        <w:spacing w:before="100" w:beforeAutospacing="1" w:after="100" w:afterAutospacing="1" w:line="240" w:lineRule="auto"/>
        <w:outlineLvl w:val="0"/>
        <w:rPr>
          <w:rFonts w:ascii="Georgia" w:eastAsia="Times New Roman" w:hAnsi="Georgia" w:cs="Times New Roman"/>
          <w:b/>
          <w:bCs/>
          <w:color w:val="000000"/>
          <w:kern w:val="36"/>
          <w:sz w:val="36"/>
          <w:szCs w:val="36"/>
          <w:lang w:eastAsia="fr-FR"/>
          <w14:ligatures w14:val="none"/>
        </w:rPr>
      </w:pPr>
      <w:bookmarkStart w:id="0" w:name="_GoBack"/>
      <w:bookmarkEnd w:id="0"/>
      <w:r w:rsidRPr="001C4FA1">
        <w:rPr>
          <w:rFonts w:ascii="Georgia" w:eastAsia="Times New Roman" w:hAnsi="Georgia" w:cs="Times New Roman"/>
          <w:b/>
          <w:bCs/>
          <w:color w:val="000000"/>
          <w:kern w:val="36"/>
          <w:sz w:val="36"/>
          <w:szCs w:val="36"/>
          <w:lang w:eastAsia="fr-FR"/>
          <w14:ligatures w14:val="none"/>
        </w:rPr>
        <w:t>La Cour des comptes allemande dresse un tableau apocalyptique de la transition énergétique déployée par Berlin</w:t>
      </w:r>
    </w:p>
    <w:p w14:paraId="1922327D" w14:textId="77777777" w:rsidR="001C4FA1" w:rsidRPr="001C4FA1" w:rsidRDefault="00CB6BAC" w:rsidP="001C4FA1">
      <w:pPr>
        <w:shd w:val="clear" w:color="auto" w:fill="E0E0E0"/>
        <w:spacing w:after="0" w:line="240" w:lineRule="auto"/>
        <w:rPr>
          <w:rFonts w:ascii="Times New Roman" w:eastAsia="Times New Roman" w:hAnsi="Times New Roman" w:cs="Times New Roman"/>
          <w:color w:val="606060"/>
          <w:kern w:val="0"/>
          <w:sz w:val="24"/>
          <w:szCs w:val="24"/>
          <w:lang w:eastAsia="fr-FR"/>
          <w14:ligatures w14:val="none"/>
        </w:rPr>
      </w:pPr>
      <w:hyperlink r:id="rId6" w:history="1">
        <w:r w:rsidR="001C4FA1" w:rsidRPr="001C4FA1">
          <w:rPr>
            <w:rFonts w:ascii="Times New Roman" w:eastAsia="Times New Roman" w:hAnsi="Times New Roman" w:cs="Times New Roman"/>
            <w:color w:val="000000"/>
            <w:kern w:val="0"/>
            <w:sz w:val="24"/>
            <w:szCs w:val="24"/>
            <w:u w:val="single"/>
            <w:lang w:eastAsia="fr-FR"/>
            <w14:ligatures w14:val="none"/>
          </w:rPr>
          <w:t>Samuel </w:t>
        </w:r>
        <w:proofErr w:type="spellStart"/>
        <w:r w:rsidR="001C4FA1" w:rsidRPr="001C4FA1">
          <w:rPr>
            <w:rFonts w:ascii="Times New Roman" w:eastAsia="Times New Roman" w:hAnsi="Times New Roman" w:cs="Times New Roman"/>
            <w:color w:val="000000"/>
            <w:kern w:val="0"/>
            <w:sz w:val="24"/>
            <w:szCs w:val="24"/>
            <w:u w:val="single"/>
            <w:lang w:eastAsia="fr-FR"/>
            <w14:ligatures w14:val="none"/>
          </w:rPr>
          <w:t>Furfari</w:t>
        </w:r>
        <w:proofErr w:type="spellEnd"/>
      </w:hyperlink>
    </w:p>
    <w:p w14:paraId="7C8D9008" w14:textId="77777777" w:rsidR="001C4FA1" w:rsidRPr="001C4FA1" w:rsidRDefault="001C4FA1" w:rsidP="001C4FA1">
      <w:pPr>
        <w:spacing w:before="100" w:beforeAutospacing="1" w:after="100" w:afterAutospacing="1" w:line="240" w:lineRule="auto"/>
        <w:jc w:val="both"/>
        <w:outlineLvl w:val="2"/>
        <w:rPr>
          <w:rFonts w:ascii="Georgia" w:eastAsia="Times New Roman" w:hAnsi="Georgia" w:cs="Times New Roman"/>
          <w:b/>
          <w:bCs/>
          <w:kern w:val="0"/>
          <w:sz w:val="24"/>
          <w:szCs w:val="24"/>
          <w:lang w:eastAsia="fr-FR"/>
          <w14:ligatures w14:val="none"/>
        </w:rPr>
      </w:pPr>
      <w:r w:rsidRPr="001C4FA1">
        <w:rPr>
          <w:rFonts w:ascii="Georgia" w:eastAsia="Times New Roman" w:hAnsi="Georgia" w:cs="Times New Roman"/>
          <w:b/>
          <w:bCs/>
          <w:kern w:val="0"/>
          <w:sz w:val="24"/>
          <w:szCs w:val="24"/>
          <w:lang w:eastAsia="fr-FR"/>
          <w14:ligatures w14:val="none"/>
        </w:rPr>
        <w:t>Atlantico : </w:t>
      </w:r>
      <w:hyperlink r:id="rId7" w:tgtFrame="_blank" w:history="1">
        <w:r w:rsidRPr="001C4FA1">
          <w:rPr>
            <w:rFonts w:ascii="Georgia" w:eastAsia="Times New Roman" w:hAnsi="Georgia" w:cs="Times New Roman"/>
            <w:b/>
            <w:bCs/>
            <w:color w:val="0071B3"/>
            <w:kern w:val="0"/>
            <w:sz w:val="24"/>
            <w:szCs w:val="24"/>
            <w:u w:val="single"/>
            <w:lang w:eastAsia="fr-FR"/>
            <w14:ligatures w14:val="none"/>
          </w:rPr>
          <w:t>La Cour des comptes allemande dresse un tableau apocalyptique de la transition énergétique déployée par Berlin dans un rapport.</w:t>
        </w:r>
      </w:hyperlink>
      <w:r w:rsidRPr="001C4FA1">
        <w:rPr>
          <w:rFonts w:ascii="Georgia" w:eastAsia="Times New Roman" w:hAnsi="Georgia" w:cs="Times New Roman"/>
          <w:b/>
          <w:bCs/>
          <w:kern w:val="0"/>
          <w:sz w:val="24"/>
          <w:szCs w:val="24"/>
          <w:lang w:eastAsia="fr-FR"/>
          <w14:ligatures w14:val="none"/>
        </w:rPr>
        <w:t> Quels sont les principaux enseignements des conclusions de la Cour des comptes fédérale allemande concernant la transition énergétique ?</w:t>
      </w:r>
    </w:p>
    <w:p w14:paraId="5DDB7505"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b/>
          <w:bCs/>
          <w:color w:val="000000"/>
          <w:kern w:val="0"/>
          <w:sz w:val="24"/>
          <w:szCs w:val="24"/>
          <w:lang w:val="fr-BE" w:eastAsia="fr-FR"/>
          <w14:ligatures w14:val="none"/>
        </w:rPr>
        <w:t xml:space="preserve">Samuel </w:t>
      </w:r>
      <w:proofErr w:type="spellStart"/>
      <w:r w:rsidRPr="001C4FA1">
        <w:rPr>
          <w:rFonts w:ascii="Georgia" w:eastAsia="Times New Roman" w:hAnsi="Georgia" w:cs="Times New Roman"/>
          <w:b/>
          <w:bCs/>
          <w:color w:val="000000"/>
          <w:kern w:val="0"/>
          <w:sz w:val="24"/>
          <w:szCs w:val="24"/>
          <w:lang w:val="fr-BE" w:eastAsia="fr-FR"/>
          <w14:ligatures w14:val="none"/>
        </w:rPr>
        <w:t>Furfari</w:t>
      </w:r>
      <w:proofErr w:type="spellEnd"/>
      <w:r w:rsidRPr="001C4FA1">
        <w:rPr>
          <w:rFonts w:ascii="Georgia" w:eastAsia="Times New Roman" w:hAnsi="Georgia" w:cs="Times New Roman"/>
          <w:b/>
          <w:bCs/>
          <w:color w:val="000000"/>
          <w:kern w:val="0"/>
          <w:sz w:val="24"/>
          <w:szCs w:val="24"/>
          <w:lang w:val="fr-BE" w:eastAsia="fr-FR"/>
          <w14:ligatures w14:val="none"/>
        </w:rPr>
        <w:t> </w:t>
      </w:r>
      <w:proofErr w:type="gramStart"/>
      <w:r w:rsidRPr="001C4FA1">
        <w:rPr>
          <w:rFonts w:ascii="Georgia" w:eastAsia="Times New Roman" w:hAnsi="Georgia" w:cs="Times New Roman"/>
          <w:b/>
          <w:bCs/>
          <w:color w:val="000000"/>
          <w:kern w:val="0"/>
          <w:sz w:val="24"/>
          <w:szCs w:val="24"/>
          <w:lang w:val="fr-BE" w:eastAsia="fr-FR"/>
          <w14:ligatures w14:val="none"/>
        </w:rPr>
        <w:t>:</w:t>
      </w:r>
      <w:r w:rsidRPr="001C4FA1">
        <w:rPr>
          <w:rFonts w:ascii="Georgia" w:eastAsia="Times New Roman" w:hAnsi="Georgia" w:cs="Times New Roman"/>
          <w:color w:val="000000"/>
          <w:kern w:val="0"/>
          <w:sz w:val="24"/>
          <w:szCs w:val="24"/>
          <w:lang w:val="fr-BE" w:eastAsia="fr-FR"/>
          <w14:ligatures w14:val="none"/>
        </w:rPr>
        <w:t>Elle</w:t>
      </w:r>
      <w:proofErr w:type="gramEnd"/>
      <w:r w:rsidRPr="001C4FA1">
        <w:rPr>
          <w:rFonts w:ascii="Georgia" w:eastAsia="Times New Roman" w:hAnsi="Georgia" w:cs="Times New Roman"/>
          <w:color w:val="000000"/>
          <w:kern w:val="0"/>
          <w:sz w:val="24"/>
          <w:szCs w:val="24"/>
          <w:lang w:val="fr-BE" w:eastAsia="fr-FR"/>
          <w14:ligatures w14:val="none"/>
        </w:rPr>
        <w:t xml:space="preserve"> a estimé que malgré les coûts astronomiques pour faire la promotion des énergies renouvelables, les résultats escomptés n’ont pas eu lieu. Il y a beaucoup de retard par rapport aux objectifs qui avaient été fixés. Il y a également un </w:t>
      </w:r>
      <w:r w:rsidRPr="001C4FA1">
        <w:rPr>
          <w:rFonts w:ascii="Georgia" w:eastAsia="Times New Roman" w:hAnsi="Georgia" w:cs="Times New Roman"/>
          <w:b/>
          <w:bCs/>
          <w:color w:val="000000"/>
          <w:kern w:val="0"/>
          <w:sz w:val="24"/>
          <w:szCs w:val="24"/>
          <w:lang w:val="fr-BE" w:eastAsia="fr-FR"/>
          <w14:ligatures w14:val="none"/>
        </w:rPr>
        <w:t>manque flagrant d’investissements dans les infrastructures</w:t>
      </w:r>
      <w:r w:rsidRPr="001C4FA1">
        <w:rPr>
          <w:rFonts w:ascii="Georgia" w:eastAsia="Times New Roman" w:hAnsi="Georgia" w:cs="Times New Roman"/>
          <w:color w:val="000000"/>
          <w:kern w:val="0"/>
          <w:sz w:val="24"/>
          <w:szCs w:val="24"/>
          <w:lang w:val="fr-BE" w:eastAsia="fr-FR"/>
          <w14:ligatures w14:val="none"/>
        </w:rPr>
        <w:t>. </w:t>
      </w:r>
    </w:p>
    <w:p w14:paraId="4725333B"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Le développement des éoliennes ou de certaines centrales a notamment été freiné par manque d’infrastructures et d’investissements, notamment pour les lignes aériennes pour transporter l’électricité. La Cour des comptes souligne ces retards dans les objectifs et les infrastructures.</w:t>
      </w:r>
    </w:p>
    <w:p w14:paraId="792B4648"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Selon les chiffres de la Cour des comptes allemande, le retard par rapport à la planification pour l’extension du réseau serait en mauvaise voie.</w:t>
      </w:r>
      <w:r w:rsidRPr="001C4FA1">
        <w:rPr>
          <w:rFonts w:ascii="Georgia" w:eastAsia="Times New Roman" w:hAnsi="Georgia" w:cs="Times New Roman"/>
          <w:b/>
          <w:bCs/>
          <w:color w:val="000000"/>
          <w:kern w:val="0"/>
          <w:sz w:val="24"/>
          <w:szCs w:val="24"/>
          <w:lang w:val="fr-BE" w:eastAsia="fr-FR"/>
          <w14:ligatures w14:val="none"/>
        </w:rPr>
        <w:t xml:space="preserve"> Il y aurait un retard de sept ans et de 6000 kilomètres </w:t>
      </w:r>
      <w:r w:rsidRPr="001C4FA1">
        <w:rPr>
          <w:rFonts w:ascii="Georgia" w:eastAsia="Times New Roman" w:hAnsi="Georgia" w:cs="Times New Roman"/>
          <w:color w:val="000000"/>
          <w:kern w:val="0"/>
          <w:sz w:val="24"/>
          <w:szCs w:val="24"/>
          <w:lang w:val="fr-BE" w:eastAsia="fr-FR"/>
          <w14:ligatures w14:val="none"/>
        </w:rPr>
        <w:t>apparemment.</w:t>
      </w:r>
      <w:r w:rsidRPr="001C4FA1">
        <w:rPr>
          <w:rFonts w:ascii="Georgia" w:eastAsia="Times New Roman" w:hAnsi="Georgia" w:cs="Times New Roman"/>
          <w:b/>
          <w:bCs/>
          <w:color w:val="000000"/>
          <w:kern w:val="0"/>
          <w:sz w:val="24"/>
          <w:szCs w:val="24"/>
          <w:lang w:val="fr-BE" w:eastAsia="fr-FR"/>
          <w14:ligatures w14:val="none"/>
        </w:rPr>
        <w:t xml:space="preserve"> Il serait nécessaire d’investir plus de 460 milliards d’euros pour l’expansion du réseau électrique. </w:t>
      </w:r>
      <w:r w:rsidRPr="001C4FA1">
        <w:rPr>
          <w:rFonts w:ascii="Georgia" w:eastAsia="Times New Roman" w:hAnsi="Georgia" w:cs="Times New Roman"/>
          <w:color w:val="000000"/>
          <w:kern w:val="0"/>
          <w:sz w:val="24"/>
          <w:szCs w:val="24"/>
          <w:lang w:val="fr-BE" w:eastAsia="fr-FR"/>
          <w14:ligatures w14:val="none"/>
        </w:rPr>
        <w:t>Sachant que les tarifs de l’électricité ont déjà augmenté de 43 % pour les clients résidentiels et de plus de 32 % pour les clients commerciaux et 80 % pour les clients industriels, ne va-t-il pas y avoir un rejet massif de la politique de l’</w:t>
      </w:r>
      <w:proofErr w:type="spellStart"/>
      <w:r w:rsidRPr="001C4FA1">
        <w:rPr>
          <w:rFonts w:ascii="Georgia" w:eastAsia="Times New Roman" w:hAnsi="Georgia" w:cs="Times New Roman"/>
          <w:color w:val="000000"/>
          <w:kern w:val="0"/>
          <w:sz w:val="24"/>
          <w:szCs w:val="24"/>
          <w:lang w:val="fr-BE" w:eastAsia="fr-FR"/>
          <w14:ligatures w14:val="none"/>
        </w:rPr>
        <w:t>EnergieWende</w:t>
      </w:r>
      <w:proofErr w:type="spellEnd"/>
      <w:r w:rsidRPr="001C4FA1">
        <w:rPr>
          <w:rFonts w:ascii="Georgia" w:eastAsia="Times New Roman" w:hAnsi="Georgia" w:cs="Times New Roman"/>
          <w:color w:val="000000"/>
          <w:kern w:val="0"/>
          <w:sz w:val="24"/>
          <w:szCs w:val="24"/>
          <w:lang w:val="fr-BE" w:eastAsia="fr-FR"/>
          <w14:ligatures w14:val="none"/>
        </w:rPr>
        <w:t>?</w:t>
      </w:r>
    </w:p>
    <w:p w14:paraId="0C342EEC" w14:textId="4B5BA2FF"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Cette question est fondamentale. En aval des centrales électriques, il y a tout un réseau électrique entre la production</w:t>
      </w:r>
      <w:r>
        <w:rPr>
          <w:rFonts w:ascii="Georgia" w:eastAsia="Times New Roman" w:hAnsi="Georgia" w:cs="Times New Roman"/>
          <w:color w:val="000000"/>
          <w:kern w:val="0"/>
          <w:sz w:val="24"/>
          <w:szCs w:val="24"/>
          <w:lang w:val="fr-BE" w:eastAsia="fr-FR"/>
          <w14:ligatures w14:val="none"/>
        </w:rPr>
        <w:t xml:space="preserve"> </w:t>
      </w:r>
      <w:r w:rsidRPr="001C4FA1">
        <w:rPr>
          <w:rFonts w:ascii="Georgia" w:eastAsia="Times New Roman" w:hAnsi="Georgia" w:cs="Times New Roman"/>
          <w:color w:val="000000"/>
          <w:kern w:val="0"/>
          <w:sz w:val="24"/>
          <w:szCs w:val="24"/>
          <w:lang w:val="fr-BE" w:eastAsia="fr-FR"/>
          <w14:ligatures w14:val="none"/>
        </w:rPr>
        <w:t>et votre interrupteur à la maison. Ce réseau électrique est gigantesque parce qu’il faut transporter en haut voltage beaucoup d’électricité sur des longues distances notamment en Allemagne puisque les éoliennes se trouvent essentiellement dans le nord et la consommation essentiellement dans le sud du pays. Ensuite, elle est transformée à plus bas voltage pour ensuite être distribuée dans les rues jusque dans votre logement. Tout cela coûte extrêmement cher.</w:t>
      </w:r>
    </w:p>
    <w:p w14:paraId="48F8C377" w14:textId="1588F0B3"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 xml:space="preserve">En France, une usine qui produit de l’électricité, </w:t>
      </w:r>
      <w:r w:rsidRPr="001C4FA1">
        <w:rPr>
          <w:rFonts w:ascii="Georgia" w:eastAsia="Times New Roman" w:hAnsi="Georgia" w:cs="Times New Roman"/>
          <w:b/>
          <w:bCs/>
          <w:color w:val="000000"/>
          <w:kern w:val="0"/>
          <w:sz w:val="24"/>
          <w:szCs w:val="24"/>
          <w:lang w:val="fr-BE" w:eastAsia="fr-FR"/>
          <w14:ligatures w14:val="none"/>
        </w:rPr>
        <w:t>s’appelle une centrale électrique</w:t>
      </w:r>
      <w:r w:rsidRPr="001C4FA1">
        <w:rPr>
          <w:rFonts w:ascii="Georgia" w:eastAsia="Times New Roman" w:hAnsi="Georgia" w:cs="Times New Roman"/>
          <w:color w:val="000000"/>
          <w:kern w:val="0"/>
          <w:sz w:val="24"/>
          <w:szCs w:val="24"/>
          <w:lang w:val="fr-BE" w:eastAsia="fr-FR"/>
          <w14:ligatures w14:val="none"/>
        </w:rPr>
        <w:t>. C’est la même chose en espagnol et en italien. Pourquoi</w:t>
      </w:r>
      <w:r>
        <w:rPr>
          <w:rFonts w:ascii="Georgia" w:eastAsia="Times New Roman" w:hAnsi="Georgia" w:cs="Times New Roman"/>
          <w:color w:val="000000"/>
          <w:kern w:val="0"/>
          <w:sz w:val="24"/>
          <w:szCs w:val="24"/>
          <w:lang w:val="fr-BE" w:eastAsia="fr-FR"/>
          <w14:ligatures w14:val="none"/>
        </w:rPr>
        <w:t xml:space="preserve"> </w:t>
      </w:r>
      <w:r w:rsidRPr="001C4FA1">
        <w:rPr>
          <w:rFonts w:ascii="Georgia" w:eastAsia="Times New Roman" w:hAnsi="Georgia" w:cs="Times New Roman"/>
          <w:color w:val="000000"/>
          <w:kern w:val="0"/>
          <w:sz w:val="24"/>
          <w:szCs w:val="24"/>
          <w:lang w:val="fr-BE" w:eastAsia="fr-FR"/>
          <w14:ligatures w14:val="none"/>
        </w:rPr>
        <w:t xml:space="preserve">? Parce qu’à l’origine de la production d’électricité, il y avait une dispersion des usines d’électricité. Chacun développait sa petite usine, notamment en fonction des chutes d’eau disponibles. Il fallait donc construire un réseau aux alentours de cette usine. Progressivement, on s’est aperçu que le bon sens exigeait de ne pas avoir des petites unités, mais d’en avoir une grande centrale. </w:t>
      </w:r>
      <w:r w:rsidRPr="001C4FA1">
        <w:rPr>
          <w:rFonts w:ascii="Georgia" w:eastAsia="Times New Roman" w:hAnsi="Georgia" w:cs="Times New Roman"/>
          <w:b/>
          <w:bCs/>
          <w:color w:val="000000"/>
          <w:kern w:val="0"/>
          <w:sz w:val="24"/>
          <w:szCs w:val="24"/>
          <w:lang w:val="fr-BE" w:eastAsia="fr-FR"/>
          <w14:ligatures w14:val="none"/>
        </w:rPr>
        <w:t>Il fallait centraliser la production d’électricité.</w:t>
      </w:r>
      <w:r w:rsidRPr="001C4FA1">
        <w:rPr>
          <w:rFonts w:ascii="Georgia" w:eastAsia="Times New Roman" w:hAnsi="Georgia" w:cs="Times New Roman"/>
          <w:color w:val="000000"/>
          <w:kern w:val="0"/>
          <w:sz w:val="24"/>
          <w:szCs w:val="24"/>
          <w:lang w:val="fr-BE" w:eastAsia="fr-FR"/>
          <w14:ligatures w14:val="none"/>
        </w:rPr>
        <w:t xml:space="preserve"> Depuis le début XX</w:t>
      </w:r>
      <w:r w:rsidRPr="001C4FA1">
        <w:rPr>
          <w:rFonts w:ascii="Times New Roman" w:eastAsia="Times New Roman" w:hAnsi="Times New Roman" w:cs="Times New Roman"/>
          <w:color w:val="000000"/>
          <w:kern w:val="0"/>
          <w:sz w:val="24"/>
          <w:szCs w:val="24"/>
          <w:lang w:val="fr-BE" w:eastAsia="fr-FR"/>
          <w14:ligatures w14:val="none"/>
        </w:rPr>
        <w:t>ᵉ</w:t>
      </w:r>
      <w:r w:rsidRPr="001C4FA1">
        <w:rPr>
          <w:rFonts w:ascii="Georgia" w:eastAsia="Times New Roman" w:hAnsi="Georgia" w:cs="Georgia"/>
          <w:color w:val="000000"/>
          <w:kern w:val="0"/>
          <w:sz w:val="24"/>
          <w:szCs w:val="24"/>
          <w:lang w:val="fr-BE" w:eastAsia="fr-FR"/>
          <w14:ligatures w14:val="none"/>
        </w:rPr>
        <w:t> </w:t>
      </w:r>
      <w:r w:rsidRPr="001C4FA1">
        <w:rPr>
          <w:rFonts w:ascii="Georgia" w:eastAsia="Times New Roman" w:hAnsi="Georgia" w:cs="Times New Roman"/>
          <w:color w:val="000000"/>
          <w:kern w:val="0"/>
          <w:sz w:val="24"/>
          <w:szCs w:val="24"/>
          <w:lang w:val="fr-BE" w:eastAsia="fr-FR"/>
          <w14:ligatures w14:val="none"/>
        </w:rPr>
        <w:t>si</w:t>
      </w:r>
      <w:r w:rsidRPr="001C4FA1">
        <w:rPr>
          <w:rFonts w:ascii="Georgia" w:eastAsia="Times New Roman" w:hAnsi="Georgia" w:cs="Georgia"/>
          <w:color w:val="000000"/>
          <w:kern w:val="0"/>
          <w:sz w:val="24"/>
          <w:szCs w:val="24"/>
          <w:lang w:val="fr-BE" w:eastAsia="fr-FR"/>
          <w14:ligatures w14:val="none"/>
        </w:rPr>
        <w:t>è</w:t>
      </w:r>
      <w:r w:rsidRPr="001C4FA1">
        <w:rPr>
          <w:rFonts w:ascii="Georgia" w:eastAsia="Times New Roman" w:hAnsi="Georgia" w:cs="Times New Roman"/>
          <w:color w:val="000000"/>
          <w:kern w:val="0"/>
          <w:sz w:val="24"/>
          <w:szCs w:val="24"/>
          <w:lang w:val="fr-BE" w:eastAsia="fr-FR"/>
          <w14:ligatures w14:val="none"/>
        </w:rPr>
        <w:t>cle, l</w:t>
      </w:r>
      <w:r w:rsidRPr="001C4FA1">
        <w:rPr>
          <w:rFonts w:ascii="Georgia" w:eastAsia="Times New Roman" w:hAnsi="Georgia" w:cs="Georgia"/>
          <w:color w:val="000000"/>
          <w:kern w:val="0"/>
          <w:sz w:val="24"/>
          <w:szCs w:val="24"/>
          <w:lang w:val="fr-BE" w:eastAsia="fr-FR"/>
          <w14:ligatures w14:val="none"/>
        </w:rPr>
        <w:t>’</w:t>
      </w:r>
      <w:r w:rsidRPr="001C4FA1">
        <w:rPr>
          <w:rFonts w:ascii="Georgia" w:eastAsia="Times New Roman" w:hAnsi="Georgia" w:cs="Times New Roman"/>
          <w:color w:val="000000"/>
          <w:kern w:val="0"/>
          <w:sz w:val="24"/>
          <w:szCs w:val="24"/>
          <w:lang w:val="fr-BE" w:eastAsia="fr-FR"/>
          <w14:ligatures w14:val="none"/>
        </w:rPr>
        <w:t xml:space="preserve">objectif a </w:t>
      </w:r>
      <w:r w:rsidRPr="001C4FA1">
        <w:rPr>
          <w:rFonts w:ascii="Georgia" w:eastAsia="Times New Roman" w:hAnsi="Georgia" w:cs="Georgia"/>
          <w:color w:val="000000"/>
          <w:kern w:val="0"/>
          <w:sz w:val="24"/>
          <w:szCs w:val="24"/>
          <w:lang w:val="fr-BE" w:eastAsia="fr-FR"/>
          <w14:ligatures w14:val="none"/>
        </w:rPr>
        <w:t>é</w:t>
      </w:r>
      <w:r w:rsidRPr="001C4FA1">
        <w:rPr>
          <w:rFonts w:ascii="Georgia" w:eastAsia="Times New Roman" w:hAnsi="Georgia" w:cs="Times New Roman"/>
          <w:color w:val="000000"/>
          <w:kern w:val="0"/>
          <w:sz w:val="24"/>
          <w:szCs w:val="24"/>
          <w:lang w:val="fr-BE" w:eastAsia="fr-FR"/>
          <w14:ligatures w14:val="none"/>
        </w:rPr>
        <w:t>t</w:t>
      </w:r>
      <w:r w:rsidRPr="001C4FA1">
        <w:rPr>
          <w:rFonts w:ascii="Georgia" w:eastAsia="Times New Roman" w:hAnsi="Georgia" w:cs="Georgia"/>
          <w:color w:val="000000"/>
          <w:kern w:val="0"/>
          <w:sz w:val="24"/>
          <w:szCs w:val="24"/>
          <w:lang w:val="fr-BE" w:eastAsia="fr-FR"/>
          <w14:ligatures w14:val="none"/>
        </w:rPr>
        <w:t>é</w:t>
      </w:r>
      <w:r w:rsidRPr="001C4FA1">
        <w:rPr>
          <w:rFonts w:ascii="Georgia" w:eastAsia="Times New Roman" w:hAnsi="Georgia" w:cs="Times New Roman"/>
          <w:color w:val="000000"/>
          <w:kern w:val="0"/>
          <w:sz w:val="24"/>
          <w:szCs w:val="24"/>
          <w:lang w:val="fr-BE" w:eastAsia="fr-FR"/>
          <w14:ligatures w14:val="none"/>
        </w:rPr>
        <w:t xml:space="preserve"> de construire de grandes centrales.</w:t>
      </w:r>
    </w:p>
    <w:p w14:paraId="0A6F7AC2"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lastRenderedPageBreak/>
        <w:t xml:space="preserve">Or, pour les énergies renouvelables, il ne peut être question de grandes centrales et on nous a inculqué que l’avenir est à la décentralisation, bafouant ainsi les générations d’ingénieur qui se sont évertuées à centraliser la production. Mais à partir du moment où vous considérez que les petites centrales représentent l’avenir, vous devez multiplier le nombre de kilomètres de câbles. La Cour des comptes allemande évoque 6000 kilomètres de retard. La situation est catastrophique et témoigne de l’erreur commise dans la transition énergétique allemande. Afin de justifier tout cela, on a même inventé le concept de «smart </w:t>
      </w:r>
      <w:proofErr w:type="spellStart"/>
      <w:r w:rsidRPr="001C4FA1">
        <w:rPr>
          <w:rFonts w:ascii="Georgia" w:eastAsia="Times New Roman" w:hAnsi="Georgia" w:cs="Times New Roman"/>
          <w:color w:val="000000"/>
          <w:kern w:val="0"/>
          <w:sz w:val="24"/>
          <w:szCs w:val="24"/>
          <w:lang w:val="fr-BE" w:eastAsia="fr-FR"/>
          <w14:ligatures w14:val="none"/>
        </w:rPr>
        <w:t>grids</w:t>
      </w:r>
      <w:proofErr w:type="spellEnd"/>
      <w:r w:rsidRPr="001C4FA1">
        <w:rPr>
          <w:rFonts w:ascii="Georgia" w:eastAsia="Times New Roman" w:hAnsi="Georgia" w:cs="Times New Roman"/>
          <w:color w:val="000000"/>
          <w:kern w:val="0"/>
          <w:sz w:val="24"/>
          <w:szCs w:val="24"/>
          <w:lang w:val="fr-BE" w:eastAsia="fr-FR"/>
          <w14:ligatures w14:val="none"/>
        </w:rPr>
        <w:t>», réseau intelligent.    Pourtant, les réseaux n’étaient pas «stupides» avant. Les réseaux électriques étaient bien gérés par le passé. Dans les écoles polytechniques, dans les sections d’électricité, on a toujours formé des ingénieurs spécialisés en réseaux électriques.</w:t>
      </w:r>
    </w:p>
    <w:p w14:paraId="71C525BD"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Cet aspect fondamental a été écarté, car il fallait justifier la multiplication d’éoliennes et de panneaux solaires. Et donc c’est pour cela qu’il y a 6000 kilomètres de retard. Or, tous ces réseaux utilisent du cuivre, un matériau qui coûte cher. C’est ce qui explique que les investissements sont très onéreux et peut-être que l’Allemagne n’avait pas mesuré l’ampleur de l’investissement à consentir pour multiplier les éoliennes dans le pays.</w:t>
      </w:r>
    </w:p>
    <w:p w14:paraId="3345A585"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Lorsque l’on pense que le vent est gratuit et que donc tout va être gratuit, cela aboutit à une erreur énorme de politique énergétique.</w:t>
      </w:r>
    </w:p>
    <w:p w14:paraId="11EB9B7D" w14:textId="77777777" w:rsidR="001C4FA1" w:rsidRPr="001C4FA1" w:rsidRDefault="001C4FA1" w:rsidP="001C4FA1">
      <w:pPr>
        <w:spacing w:before="100" w:beforeAutospacing="1" w:after="100" w:afterAutospacing="1" w:line="240" w:lineRule="auto"/>
        <w:jc w:val="both"/>
        <w:outlineLvl w:val="2"/>
        <w:rPr>
          <w:rFonts w:ascii="Georgia" w:eastAsia="Times New Roman" w:hAnsi="Georgia" w:cs="Times New Roman"/>
          <w:b/>
          <w:bCs/>
          <w:kern w:val="0"/>
          <w:sz w:val="24"/>
          <w:szCs w:val="24"/>
          <w:lang w:eastAsia="fr-FR"/>
          <w14:ligatures w14:val="none"/>
        </w:rPr>
      </w:pPr>
      <w:r w:rsidRPr="001C4FA1">
        <w:rPr>
          <w:rFonts w:ascii="Georgia" w:eastAsia="Times New Roman" w:hAnsi="Georgia" w:cs="Times New Roman"/>
          <w:kern w:val="0"/>
          <w:sz w:val="24"/>
          <w:szCs w:val="24"/>
          <w:lang w:val="fr-BE" w:eastAsia="fr-FR"/>
          <w14:ligatures w14:val="none"/>
        </w:rPr>
        <w:t>Exprimant de gros doutes quant à la possibilité d’une élimination rapide du charbon en 2030,</w:t>
      </w:r>
      <w:r w:rsidRPr="001C4FA1">
        <w:rPr>
          <w:rFonts w:ascii="Georgia" w:eastAsia="Times New Roman" w:hAnsi="Georgia" w:cs="Times New Roman"/>
          <w:b/>
          <w:bCs/>
          <w:kern w:val="0"/>
          <w:sz w:val="24"/>
          <w:szCs w:val="24"/>
          <w:lang w:val="fr-BE" w:eastAsia="fr-FR"/>
          <w14:ligatures w14:val="none"/>
        </w:rPr>
        <w:t xml:space="preserve"> la Cour fédérale des comptes Allemande alerte sur le fait que les dix centrales électriques au gaz prévues ne suffiront pas à garantir la sécurité d’approvisionnement. </w:t>
      </w:r>
      <w:r w:rsidRPr="001C4FA1">
        <w:rPr>
          <w:rFonts w:ascii="Georgia" w:eastAsia="Times New Roman" w:hAnsi="Georgia" w:cs="Times New Roman"/>
          <w:kern w:val="0"/>
          <w:sz w:val="24"/>
          <w:szCs w:val="24"/>
          <w:lang w:val="fr-BE" w:eastAsia="fr-FR"/>
          <w14:ligatures w14:val="none"/>
        </w:rPr>
        <w:t>L’objectif d’un approvisionnement sûr en électricité ne peut donc être garanti. Est-ce que là aussi, il n’y a pas une crainte face à cette transition au charbon de voir des risques liés à l’énergie ressurgir en Allemagne?</w:t>
      </w:r>
    </w:p>
    <w:p w14:paraId="16B8B86B"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La Cour des comptes a souligné quelque chose de très grave. Plus vous développez des énergies alternatives, variables et intermittentes, plus vous devez préparer une solution de secours et pérenne. </w:t>
      </w:r>
    </w:p>
    <w:p w14:paraId="4787A894" w14:textId="455520D0"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Il n’est pas possible d’installer une éolienne et à côté ne pas avoir une autre centrale qui va prendre le relais lorsqu’il n’y aura pas de vent. Dans l’UE, il y avait assez de centrales existantes. De sorte que lorsque l’on ajoutait une éolienne, après tout, il y avait bien des centrales au charbon ou nucléaires ou au gaz qui fonctionnaient pour pallier l’intermittence. Mais à partir du moment où en Allemagne on arrête les centrales nucléaires et au charbon et qu’on ne veut que de l’éolien et du solaire, vous êtes obligés de construire une garde naturel</w:t>
      </w:r>
      <w:r>
        <w:rPr>
          <w:rFonts w:ascii="Georgia" w:eastAsia="Times New Roman" w:hAnsi="Georgia" w:cs="Times New Roman"/>
          <w:color w:val="000000"/>
          <w:kern w:val="0"/>
          <w:sz w:val="24"/>
          <w:szCs w:val="24"/>
          <w:lang w:val="fr-BE" w:eastAsia="fr-FR"/>
          <w14:ligatures w14:val="none"/>
        </w:rPr>
        <w:t>le</w:t>
      </w:r>
      <w:r w:rsidRPr="001C4FA1">
        <w:rPr>
          <w:rFonts w:ascii="Georgia" w:eastAsia="Times New Roman" w:hAnsi="Georgia" w:cs="Times New Roman"/>
          <w:color w:val="000000"/>
          <w:kern w:val="0"/>
          <w:sz w:val="24"/>
          <w:szCs w:val="24"/>
          <w:lang w:val="fr-BE" w:eastAsia="fr-FR"/>
          <w14:ligatures w14:val="none"/>
        </w:rPr>
        <w:t>.</w:t>
      </w:r>
    </w:p>
    <w:p w14:paraId="3A5B0916"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Or, vous ne pouvez pas baser un réseau électrique uniquement sur des éoliennes et du solaire, car l’éolien ne produit que 23 % du temps et le solaire 11 % du temps. Donc quand vous installez une éolienne, il vous faut un remplacement qui va fonctionner 75 % du temps. Les Allemands l’ont compris et suite à leur décision d’arrêter le charbon à cause des émissions de CO₂ et le nucléaire, il va falloir construire des centrales au gaz. </w:t>
      </w:r>
    </w:p>
    <w:p w14:paraId="51786A3B"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Mais avec la difficulté qu’il y a eu avec la Russie, l’Allemagne est vraiment fragilisée, car il n’y a plus assez de gaz pour l’industrie chimique et pour le secteur domestique. En plus, le gaz est devenu cher, car ils ne bénéficient plus du gaz russe bon marché.</w:t>
      </w:r>
    </w:p>
    <w:p w14:paraId="13904017"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lastRenderedPageBreak/>
        <w:t>En Allemagne, les difficultés sont réelles, car ils ne peuvent pas développer l’éolien et il n’y a pas assez de centrales au gaz pour pallier l’intermittence.</w:t>
      </w:r>
    </w:p>
    <w:p w14:paraId="1FF75FFD" w14:textId="77777777" w:rsidR="001C4FA1" w:rsidRPr="001C4FA1" w:rsidRDefault="001C4FA1" w:rsidP="001C4FA1">
      <w:pPr>
        <w:spacing w:before="100" w:beforeAutospacing="1" w:after="100" w:afterAutospacing="1" w:line="240" w:lineRule="auto"/>
        <w:jc w:val="both"/>
        <w:outlineLvl w:val="2"/>
        <w:rPr>
          <w:rFonts w:ascii="Georgia" w:eastAsia="Times New Roman" w:hAnsi="Georgia" w:cs="Times New Roman"/>
          <w:kern w:val="0"/>
          <w:sz w:val="24"/>
          <w:szCs w:val="24"/>
          <w:lang w:eastAsia="fr-FR"/>
          <w14:ligatures w14:val="none"/>
        </w:rPr>
      </w:pPr>
      <w:r w:rsidRPr="001C4FA1">
        <w:rPr>
          <w:rFonts w:ascii="Georgia" w:eastAsia="Times New Roman" w:hAnsi="Georgia" w:cs="Times New Roman"/>
          <w:kern w:val="0"/>
          <w:sz w:val="24"/>
          <w:szCs w:val="24"/>
          <w:lang w:val="fr-BE" w:eastAsia="fr-FR"/>
          <w14:ligatures w14:val="none"/>
        </w:rPr>
        <w:t>La Cour fédérale des comptes a également critiqué le fait que le ministère de l’Economie ait présenté de manière trop positive l’évolution des prix de l’électricité.</w:t>
      </w:r>
      <w:r w:rsidRPr="001C4FA1">
        <w:rPr>
          <w:rFonts w:ascii="Georgia" w:eastAsia="Times New Roman" w:hAnsi="Georgia" w:cs="Times New Roman"/>
          <w:b/>
          <w:bCs/>
          <w:kern w:val="0"/>
          <w:sz w:val="24"/>
          <w:szCs w:val="24"/>
          <w:lang w:val="fr-BE" w:eastAsia="fr-FR"/>
          <w14:ligatures w14:val="none"/>
        </w:rPr>
        <w:t xml:space="preserve"> La Cour constate que les coûts supplémentaires de la transition énergétique ne sont pas pris en compte, notamment les coûts intégrant l’expansion du réseau ou les capacités de secours. </w:t>
      </w:r>
      <w:r w:rsidRPr="001C4FA1">
        <w:rPr>
          <w:rFonts w:ascii="Georgia" w:eastAsia="Times New Roman" w:hAnsi="Georgia" w:cs="Times New Roman"/>
          <w:kern w:val="0"/>
          <w:sz w:val="24"/>
          <w:szCs w:val="24"/>
          <w:lang w:val="fr-BE" w:eastAsia="fr-FR"/>
          <w14:ligatures w14:val="none"/>
        </w:rPr>
        <w:t>Est-ce que cela ne crée pas une fausse image des coûts réels de la transition énergétique? Est-ce que cela ne va pas rendre plus difficile l’acceptation de la transition énergétique au sein de la population allemande?</w:t>
      </w:r>
    </w:p>
    <w:p w14:paraId="702A3823"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Cette vérité est en train de devenir patente. Les énergies renouvelables ont toujours été présentées comme peu chères, efficaces et permettant d’inonder le monde avec cette technologie. La situation allemande démontre maintenant que tout cela est complètement biaisé et faux.</w:t>
      </w:r>
    </w:p>
    <w:p w14:paraId="1EB87EA5"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La Cour des comptes allemande confirme que cette transition énergétique va coûter beaucoup plus cher que ce qui était prévu et anticipé. </w:t>
      </w:r>
    </w:p>
    <w:p w14:paraId="26DF3105"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b/>
          <w:bCs/>
          <w:color w:val="000000"/>
          <w:kern w:val="0"/>
          <w:sz w:val="24"/>
          <w:szCs w:val="24"/>
          <w:lang w:eastAsia="fr-FR"/>
          <w14:ligatures w14:val="none"/>
        </w:rPr>
      </w:pPr>
      <w:r w:rsidRPr="001C4FA1">
        <w:rPr>
          <w:rFonts w:ascii="Georgia" w:eastAsia="Times New Roman" w:hAnsi="Georgia" w:cs="Times New Roman"/>
          <w:b/>
          <w:bCs/>
          <w:color w:val="000000"/>
          <w:kern w:val="0"/>
          <w:sz w:val="24"/>
          <w:szCs w:val="24"/>
          <w:lang w:val="fr-BE" w:eastAsia="fr-FR"/>
          <w14:ligatures w14:val="none"/>
        </w:rPr>
        <w:t>En France aussi, la Cour des comptes a aussi fait le même constat l’an dernier. Mais cela n’a rien changé. Personne ne met en pratique les conclusions du rapport. </w:t>
      </w:r>
    </w:p>
    <w:p w14:paraId="5B6865AE" w14:textId="77777777" w:rsidR="001C4FA1" w:rsidRPr="001C4FA1" w:rsidRDefault="001C4FA1" w:rsidP="001C4FA1">
      <w:pPr>
        <w:spacing w:before="100" w:beforeAutospacing="1" w:after="100" w:afterAutospacing="1" w:line="240" w:lineRule="auto"/>
        <w:jc w:val="both"/>
        <w:outlineLvl w:val="2"/>
        <w:rPr>
          <w:rFonts w:ascii="Georgia" w:eastAsia="Times New Roman" w:hAnsi="Georgia" w:cs="Times New Roman"/>
          <w:b/>
          <w:bCs/>
          <w:kern w:val="0"/>
          <w:sz w:val="24"/>
          <w:szCs w:val="24"/>
          <w:lang w:eastAsia="fr-FR"/>
          <w14:ligatures w14:val="none"/>
        </w:rPr>
      </w:pPr>
      <w:r w:rsidRPr="001C4FA1">
        <w:rPr>
          <w:rFonts w:ascii="Georgia" w:eastAsia="Times New Roman" w:hAnsi="Georgia" w:cs="Times New Roman"/>
          <w:kern w:val="0"/>
          <w:sz w:val="24"/>
          <w:szCs w:val="24"/>
          <w:lang w:val="fr-BE" w:eastAsia="fr-FR"/>
          <w14:ligatures w14:val="none"/>
        </w:rPr>
        <w:t xml:space="preserve">Le président de la Cour aurait déclaré que la sécurité d’approvisionnement était menacée, que l’électricité est coûteuse et le gouvernement fédéral n’est pas en mesure d’évaluer de manière exhaustive l’impact de la transition énergétique sur le paysage, la nature et l’environnement. Est-ce que nous assistons à un grand gâchis allemand? </w:t>
      </w:r>
      <w:r w:rsidRPr="001C4FA1">
        <w:rPr>
          <w:rFonts w:ascii="Georgia" w:eastAsia="Times New Roman" w:hAnsi="Georgia" w:cs="Times New Roman"/>
          <w:b/>
          <w:bCs/>
          <w:kern w:val="0"/>
          <w:sz w:val="24"/>
          <w:szCs w:val="24"/>
          <w:lang w:val="fr-BE" w:eastAsia="fr-FR"/>
          <w14:ligatures w14:val="none"/>
        </w:rPr>
        <w:t>N’est-ce pas inquiétant pour l’avenir de l’Allemagne et même pour l’Europe sur le plan de l’énergie? </w:t>
      </w:r>
    </w:p>
    <w:p w14:paraId="4F11AE62"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 xml:space="preserve">La Cour des comptes allemande a aussi mentionné le gâchis environnemental, car il est vraiment insupportable de voir des éoliennes partout en Allemagne. Il y a un immense gaspillage d’argent public pour quelque chose qui n’apporte pas grand-chose et surtout, qu’au niveau mondial, les autres pays ne cessent pas d’émettre du CO₂. </w:t>
      </w:r>
      <w:r w:rsidRPr="001C4FA1">
        <w:rPr>
          <w:rFonts w:ascii="Georgia" w:eastAsia="Times New Roman" w:hAnsi="Georgia" w:cs="Times New Roman"/>
          <w:b/>
          <w:bCs/>
          <w:color w:val="000000"/>
          <w:kern w:val="0"/>
          <w:sz w:val="24"/>
          <w:szCs w:val="24"/>
          <w:lang w:val="fr-BE" w:eastAsia="fr-FR"/>
          <w14:ligatures w14:val="none"/>
        </w:rPr>
        <w:t>Ce que fait l’Allemagne est vraiment totalement insignifiant dans le cadre de la lutte pour le changement climatique et cela leur coûte horriblement cher, tout le en détruisant le paysage.</w:t>
      </w:r>
      <w:r w:rsidRPr="001C4FA1">
        <w:rPr>
          <w:rFonts w:ascii="Georgia" w:eastAsia="Times New Roman" w:hAnsi="Georgia" w:cs="Times New Roman"/>
          <w:color w:val="000000"/>
          <w:kern w:val="0"/>
          <w:sz w:val="24"/>
          <w:szCs w:val="24"/>
          <w:lang w:val="fr-BE" w:eastAsia="fr-FR"/>
          <w14:ligatures w14:val="none"/>
        </w:rPr>
        <w:t xml:space="preserve"> Les conclusions sont donc un zéro pointé pour l’</w:t>
      </w:r>
      <w:proofErr w:type="spellStart"/>
      <w:r w:rsidRPr="001C4FA1">
        <w:rPr>
          <w:rFonts w:ascii="Georgia" w:eastAsia="Times New Roman" w:hAnsi="Georgia" w:cs="Times New Roman"/>
          <w:color w:val="000000"/>
          <w:kern w:val="0"/>
          <w:sz w:val="24"/>
          <w:szCs w:val="24"/>
          <w:lang w:val="fr-BE" w:eastAsia="fr-FR"/>
          <w14:ligatures w14:val="none"/>
        </w:rPr>
        <w:t>EnergieWende</w:t>
      </w:r>
      <w:proofErr w:type="spellEnd"/>
      <w:r w:rsidRPr="001C4FA1">
        <w:rPr>
          <w:rFonts w:ascii="Georgia" w:eastAsia="Times New Roman" w:hAnsi="Georgia" w:cs="Times New Roman"/>
          <w:color w:val="000000"/>
          <w:kern w:val="0"/>
          <w:sz w:val="24"/>
          <w:szCs w:val="24"/>
          <w:lang w:val="fr-BE" w:eastAsia="fr-FR"/>
          <w14:ligatures w14:val="none"/>
        </w:rPr>
        <w:t xml:space="preserve"> Allemande. </w:t>
      </w:r>
    </w:p>
    <w:p w14:paraId="745BCE33"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Il est urgent maintenant de changer la mentalité des députés européens. Il y a encore une trop grande majorité de politiciens à Strasbourg qui sont encore dans ce paradigme utopique de l’</w:t>
      </w:r>
      <w:proofErr w:type="spellStart"/>
      <w:r w:rsidRPr="001C4FA1">
        <w:rPr>
          <w:rFonts w:ascii="Georgia" w:eastAsia="Times New Roman" w:hAnsi="Georgia" w:cs="Times New Roman"/>
          <w:color w:val="000000"/>
          <w:kern w:val="0"/>
          <w:sz w:val="24"/>
          <w:szCs w:val="24"/>
          <w:lang w:val="fr-BE" w:eastAsia="fr-FR"/>
          <w14:ligatures w14:val="none"/>
        </w:rPr>
        <w:t>EnergieWende</w:t>
      </w:r>
      <w:proofErr w:type="spellEnd"/>
      <w:r w:rsidRPr="001C4FA1">
        <w:rPr>
          <w:rFonts w:ascii="Georgia" w:eastAsia="Times New Roman" w:hAnsi="Georgia" w:cs="Times New Roman"/>
          <w:color w:val="000000"/>
          <w:kern w:val="0"/>
          <w:sz w:val="24"/>
          <w:szCs w:val="24"/>
          <w:lang w:val="fr-BE" w:eastAsia="fr-FR"/>
          <w14:ligatures w14:val="none"/>
        </w:rPr>
        <w:t xml:space="preserve">. Beaucoup de députés européens ne sont pas informés et ne veulent pas s’informer parce que </w:t>
      </w:r>
      <w:r w:rsidRPr="001C4FA1">
        <w:rPr>
          <w:rFonts w:ascii="Georgia" w:eastAsia="Times New Roman" w:hAnsi="Georgia" w:cs="Times New Roman"/>
          <w:b/>
          <w:bCs/>
          <w:color w:val="000000"/>
          <w:kern w:val="0"/>
          <w:sz w:val="24"/>
          <w:szCs w:val="24"/>
          <w:lang w:val="fr-BE" w:eastAsia="fr-FR"/>
          <w14:ligatures w14:val="none"/>
        </w:rPr>
        <w:t>pour eux la transition énergétique est un dogme</w:t>
      </w:r>
      <w:r w:rsidRPr="001C4FA1">
        <w:rPr>
          <w:rFonts w:ascii="Georgia" w:eastAsia="Times New Roman" w:hAnsi="Georgia" w:cs="Times New Roman"/>
          <w:color w:val="000000"/>
          <w:kern w:val="0"/>
          <w:sz w:val="24"/>
          <w:szCs w:val="24"/>
          <w:lang w:val="fr-BE" w:eastAsia="fr-FR"/>
          <w14:ligatures w14:val="none"/>
        </w:rPr>
        <w:t>. </w:t>
      </w:r>
    </w:p>
    <w:p w14:paraId="01026A40" w14:textId="1DCC1644"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 xml:space="preserve">La Cour des comptes allemande vient de donner un énorme coup dans la fourmilière. J’espère qu’à Strasbourg, il y aura tout de même une prise de conscience du prochain Parlement. Nous sommes en train de commettre des erreurs. Il faudrait aussi que l’UE cesse de courir derrière les </w:t>
      </w:r>
      <w:r>
        <w:rPr>
          <w:rFonts w:ascii="Georgia" w:eastAsia="Times New Roman" w:hAnsi="Georgia" w:cs="Times New Roman"/>
          <w:color w:val="000000"/>
          <w:kern w:val="0"/>
          <w:sz w:val="24"/>
          <w:szCs w:val="24"/>
          <w:lang w:val="fr-BE" w:eastAsia="fr-FR"/>
          <w14:ligatures w14:val="none"/>
        </w:rPr>
        <w:t xml:space="preserve">( ?) </w:t>
      </w:r>
      <w:r w:rsidRPr="001C4FA1">
        <w:rPr>
          <w:rFonts w:ascii="Georgia" w:eastAsia="Times New Roman" w:hAnsi="Georgia" w:cs="Times New Roman"/>
          <w:color w:val="000000"/>
          <w:kern w:val="0"/>
          <w:sz w:val="24"/>
          <w:szCs w:val="24"/>
          <w:lang w:val="fr-BE" w:eastAsia="fr-FR"/>
          <w14:ligatures w14:val="none"/>
        </w:rPr>
        <w:t>en fixant de nouveaux objectifs toujours plus contraignants. Même en pleine crise des agriculteurs, la Commission européenne vient de publier un rapport de 605 pages avec de nouvelles normes et de nouveaux objectifs à atteindre. Ils sont dans un monde parallèle.</w:t>
      </w:r>
    </w:p>
    <w:p w14:paraId="54B2C622" w14:textId="77777777" w:rsidR="001C4FA1" w:rsidRPr="001C4FA1" w:rsidRDefault="001C4FA1" w:rsidP="001C4FA1">
      <w:pPr>
        <w:spacing w:before="100" w:beforeAutospacing="1" w:after="100" w:afterAutospacing="1" w:line="240" w:lineRule="auto"/>
        <w:jc w:val="both"/>
        <w:outlineLvl w:val="2"/>
        <w:rPr>
          <w:rFonts w:ascii="Georgia" w:eastAsia="Times New Roman" w:hAnsi="Georgia" w:cs="Times New Roman"/>
          <w:b/>
          <w:bCs/>
          <w:kern w:val="0"/>
          <w:sz w:val="24"/>
          <w:szCs w:val="24"/>
          <w:lang w:eastAsia="fr-FR"/>
          <w14:ligatures w14:val="none"/>
        </w:rPr>
      </w:pPr>
      <w:r w:rsidRPr="001C4FA1">
        <w:rPr>
          <w:rFonts w:ascii="Georgia" w:eastAsia="Times New Roman" w:hAnsi="Georgia" w:cs="Times New Roman"/>
          <w:b/>
          <w:bCs/>
          <w:kern w:val="0"/>
          <w:sz w:val="24"/>
          <w:szCs w:val="24"/>
          <w:lang w:val="fr-BE" w:eastAsia="fr-FR"/>
          <w14:ligatures w14:val="none"/>
        </w:rPr>
        <w:lastRenderedPageBreak/>
        <w:t>Alors que le modèle allemand avait été plébiscité en Europe et que certains étaient tentés de le suivre, avec cette déclaration de la Cour fédérale allemande, est-ce qu’il ne pourrait pas y avoir une inflexion en Europe pour obtenir une transition moins coûteuse?</w:t>
      </w:r>
    </w:p>
    <w:p w14:paraId="6967D89F"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J’attendais ce moment depuis longtemps. Je travaille depuis des décennies sur tout cela. J’ai été responsable des énergies renouvelables. Il fallait essayer ces modèles de transition, mais que maintenant que l'échec est évident il faut arrêter dilapider l’argent public pour produire des énergies renouvelables. Cela coûte horriblement cher et cela ne sert à rien pour le CO₂ mondial donc il faut arrêter. Les seuls bénéficiaires sont les investisseurs dans ces centrales, car, à cause de la courbe de mérite, ils empochent la différence entre le coût marginal pratiquement nul du vent et le coût marginal de la dernière centrale au gaz mise en service pour satisfaire la demande. Il y a en fait une véritable escroquerie payée par toute la communauté des consommateurs.</w:t>
      </w:r>
    </w:p>
    <w:p w14:paraId="4FEE41FF" w14:textId="5316D7A0"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La nouvelle Commission et le nouveau Parlement européen doivent avoir le courage de mettre fin à ce système unique qui consiste à transférer l’argent des consommateurs vers les comptes en banque des investisseurs en énergie renouvelable. Est-ce que le gouvernement allemand va oser prendre les mesures qui s’imposent? Est-ce que les autres gouvernements vont-ils le faire aussi</w:t>
      </w:r>
      <w:r>
        <w:rPr>
          <w:rFonts w:ascii="Georgia" w:eastAsia="Times New Roman" w:hAnsi="Georgia" w:cs="Times New Roman"/>
          <w:color w:val="000000"/>
          <w:kern w:val="0"/>
          <w:sz w:val="24"/>
          <w:szCs w:val="24"/>
          <w:lang w:val="fr-BE" w:eastAsia="fr-FR"/>
          <w14:ligatures w14:val="none"/>
        </w:rPr>
        <w:t xml:space="preserve"> </w:t>
      </w:r>
      <w:r w:rsidRPr="001C4FA1">
        <w:rPr>
          <w:rFonts w:ascii="Georgia" w:eastAsia="Times New Roman" w:hAnsi="Georgia" w:cs="Times New Roman"/>
          <w:color w:val="000000"/>
          <w:kern w:val="0"/>
          <w:sz w:val="24"/>
          <w:szCs w:val="24"/>
          <w:lang w:val="fr-BE" w:eastAsia="fr-FR"/>
          <w14:ligatures w14:val="none"/>
        </w:rPr>
        <w:t>? Est-ce que l’Union européenne va-t-elle mettre fin à ce mécanisme pernicieux</w:t>
      </w:r>
      <w:r>
        <w:rPr>
          <w:rFonts w:ascii="Georgia" w:eastAsia="Times New Roman" w:hAnsi="Georgia" w:cs="Times New Roman"/>
          <w:color w:val="000000"/>
          <w:kern w:val="0"/>
          <w:sz w:val="24"/>
          <w:szCs w:val="24"/>
          <w:lang w:val="fr-BE" w:eastAsia="fr-FR"/>
          <w14:ligatures w14:val="none"/>
        </w:rPr>
        <w:t xml:space="preserve"> </w:t>
      </w:r>
      <w:r w:rsidRPr="001C4FA1">
        <w:rPr>
          <w:rFonts w:ascii="Georgia" w:eastAsia="Times New Roman" w:hAnsi="Georgia" w:cs="Times New Roman"/>
          <w:color w:val="000000"/>
          <w:kern w:val="0"/>
          <w:sz w:val="24"/>
          <w:szCs w:val="24"/>
          <w:lang w:val="fr-BE" w:eastAsia="fr-FR"/>
          <w14:ligatures w14:val="none"/>
        </w:rPr>
        <w:t>?</w:t>
      </w:r>
    </w:p>
    <w:p w14:paraId="0266C59B"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color w:val="000000"/>
          <w:kern w:val="0"/>
          <w:sz w:val="24"/>
          <w:szCs w:val="24"/>
          <w:lang w:val="fr-BE" w:eastAsia="fr-FR"/>
          <w14:ligatures w14:val="none"/>
        </w:rPr>
        <w:t xml:space="preserve">Dans mon livre publié la semaine dernière «Énergie, mensonges d’État. La destruction organisée de la compétitivité de l’UE» (édition L’Artilleur), je démontre que pendant 66 ans l’Union européenne a tout fait pour que les citoyens et l’industrie disposent d’une énergie abondante et bon marché. Ce n’est que depuis l’accord de Paris que tout a périclité. Nous avons un manque d’énergie et elle est chère. Pendant ce temps-là, </w:t>
      </w:r>
      <w:r w:rsidRPr="001C4FA1">
        <w:rPr>
          <w:rFonts w:ascii="Georgia" w:eastAsia="Times New Roman" w:hAnsi="Georgia" w:cs="Times New Roman"/>
          <w:b/>
          <w:bCs/>
          <w:color w:val="000000"/>
          <w:kern w:val="0"/>
          <w:sz w:val="24"/>
          <w:szCs w:val="24"/>
          <w:lang w:val="fr-BE" w:eastAsia="fr-FR"/>
          <w14:ligatures w14:val="none"/>
        </w:rPr>
        <w:t>nos concurrents dans le reste du monde profitent de l’énergie abondante et bon marché, ils le feront de plus en plus en nous laissant avec notre illusion de la décarbonation.</w:t>
      </w:r>
      <w:r w:rsidRPr="001C4FA1">
        <w:rPr>
          <w:rFonts w:ascii="Georgia" w:eastAsia="Times New Roman" w:hAnsi="Georgia" w:cs="Times New Roman"/>
          <w:color w:val="000000"/>
          <w:kern w:val="0"/>
          <w:sz w:val="24"/>
          <w:szCs w:val="24"/>
          <w:lang w:val="fr-BE" w:eastAsia="fr-FR"/>
          <w14:ligatures w14:val="none"/>
        </w:rPr>
        <w:t xml:space="preserve"> Nous devons être reconnaissant envers la cour allemande qui a eu le courage de dire que l’</w:t>
      </w:r>
      <w:proofErr w:type="spellStart"/>
      <w:r w:rsidRPr="001C4FA1">
        <w:rPr>
          <w:rFonts w:ascii="Georgia" w:eastAsia="Times New Roman" w:hAnsi="Georgia" w:cs="Times New Roman"/>
          <w:color w:val="000000"/>
          <w:kern w:val="0"/>
          <w:sz w:val="24"/>
          <w:szCs w:val="24"/>
          <w:lang w:val="fr-BE" w:eastAsia="fr-FR"/>
          <w14:ligatures w14:val="none"/>
        </w:rPr>
        <w:t>EnergieWende</w:t>
      </w:r>
      <w:proofErr w:type="spellEnd"/>
      <w:r w:rsidRPr="001C4FA1">
        <w:rPr>
          <w:rFonts w:ascii="Georgia" w:eastAsia="Times New Roman" w:hAnsi="Georgia" w:cs="Times New Roman"/>
          <w:color w:val="000000"/>
          <w:kern w:val="0"/>
          <w:sz w:val="24"/>
          <w:szCs w:val="24"/>
          <w:lang w:val="fr-BE" w:eastAsia="fr-FR"/>
          <w14:ligatures w14:val="none"/>
        </w:rPr>
        <w:t xml:space="preserve"> est un échec Plus vite on revient à la politique qui avait été suivie avant l’accord de Paris mieux on se portera.</w:t>
      </w:r>
    </w:p>
    <w:p w14:paraId="3BB7895A" w14:textId="77777777" w:rsidR="001C4FA1" w:rsidRPr="001C4FA1" w:rsidRDefault="001C4FA1" w:rsidP="001C4FA1">
      <w:pPr>
        <w:spacing w:before="100" w:beforeAutospacing="1" w:after="100" w:afterAutospacing="1" w:line="240" w:lineRule="auto"/>
        <w:jc w:val="both"/>
        <w:rPr>
          <w:rFonts w:ascii="Georgia" w:eastAsia="Times New Roman" w:hAnsi="Georgia" w:cs="Times New Roman"/>
          <w:color w:val="000000"/>
          <w:kern w:val="0"/>
          <w:sz w:val="24"/>
          <w:szCs w:val="24"/>
          <w:lang w:eastAsia="fr-FR"/>
          <w14:ligatures w14:val="none"/>
        </w:rPr>
      </w:pPr>
      <w:r w:rsidRPr="001C4FA1">
        <w:rPr>
          <w:rFonts w:ascii="Georgia" w:eastAsia="Times New Roman" w:hAnsi="Georgia" w:cs="Times New Roman"/>
          <w:b/>
          <w:bCs/>
          <w:color w:val="000000"/>
          <w:kern w:val="0"/>
          <w:sz w:val="24"/>
          <w:szCs w:val="24"/>
          <w:lang w:val="fr-BE" w:eastAsia="fr-FR"/>
          <w14:ligatures w14:val="none"/>
        </w:rPr>
        <w:t xml:space="preserve">Samuel </w:t>
      </w:r>
      <w:proofErr w:type="spellStart"/>
      <w:r w:rsidRPr="001C4FA1">
        <w:rPr>
          <w:rFonts w:ascii="Georgia" w:eastAsia="Times New Roman" w:hAnsi="Georgia" w:cs="Times New Roman"/>
          <w:b/>
          <w:bCs/>
          <w:color w:val="000000"/>
          <w:kern w:val="0"/>
          <w:sz w:val="24"/>
          <w:szCs w:val="24"/>
          <w:lang w:val="fr-BE" w:eastAsia="fr-FR"/>
          <w14:ligatures w14:val="none"/>
        </w:rPr>
        <w:t>Furfari</w:t>
      </w:r>
      <w:proofErr w:type="spellEnd"/>
      <w:r w:rsidRPr="001C4FA1">
        <w:rPr>
          <w:rFonts w:ascii="Georgia" w:eastAsia="Times New Roman" w:hAnsi="Georgia" w:cs="Times New Roman"/>
          <w:b/>
          <w:bCs/>
          <w:color w:val="000000"/>
          <w:kern w:val="0"/>
          <w:sz w:val="24"/>
          <w:szCs w:val="24"/>
          <w:lang w:val="fr-BE" w:eastAsia="fr-FR"/>
          <w14:ligatures w14:val="none"/>
        </w:rPr>
        <w:t xml:space="preserve"> vient de publier "Energie, mensonges d'état La destruction organisée de la </w:t>
      </w:r>
      <w:proofErr w:type="spellStart"/>
      <w:r w:rsidRPr="001C4FA1">
        <w:rPr>
          <w:rFonts w:ascii="Georgia" w:eastAsia="Times New Roman" w:hAnsi="Georgia" w:cs="Times New Roman"/>
          <w:b/>
          <w:bCs/>
          <w:color w:val="000000"/>
          <w:kern w:val="0"/>
          <w:sz w:val="24"/>
          <w:szCs w:val="24"/>
          <w:lang w:val="fr-BE" w:eastAsia="fr-FR"/>
          <w14:ligatures w14:val="none"/>
        </w:rPr>
        <w:t>compétititivité</w:t>
      </w:r>
      <w:proofErr w:type="spellEnd"/>
      <w:r w:rsidRPr="001C4FA1">
        <w:rPr>
          <w:rFonts w:ascii="Georgia" w:eastAsia="Times New Roman" w:hAnsi="Georgia" w:cs="Times New Roman"/>
          <w:b/>
          <w:bCs/>
          <w:color w:val="000000"/>
          <w:kern w:val="0"/>
          <w:sz w:val="24"/>
          <w:szCs w:val="24"/>
          <w:lang w:val="fr-BE" w:eastAsia="fr-FR"/>
          <w14:ligatures w14:val="none"/>
        </w:rPr>
        <w:t xml:space="preserve"> de l'UE" aux éditions L'Artilleur</w:t>
      </w:r>
    </w:p>
    <w:p w14:paraId="1FE21568" w14:textId="0E110464" w:rsidR="001C4FA1" w:rsidRPr="001C4FA1" w:rsidRDefault="001C4FA1" w:rsidP="006344D9">
      <w:pPr>
        <w:shd w:val="clear" w:color="auto" w:fill="E5E5E5"/>
        <w:spacing w:after="0" w:line="240" w:lineRule="auto"/>
        <w:rPr>
          <w:rFonts w:ascii="Times New Roman" w:eastAsia="Times New Roman" w:hAnsi="Times New Roman" w:cs="Times New Roman"/>
          <w:b/>
          <w:bCs/>
          <w:kern w:val="0"/>
          <w:sz w:val="36"/>
          <w:szCs w:val="36"/>
          <w:lang w:eastAsia="fr-FR"/>
          <w14:ligatures w14:val="none"/>
        </w:rPr>
      </w:pPr>
      <w:r w:rsidRPr="001C4FA1">
        <w:rPr>
          <w:rFonts w:ascii="Times New Roman" w:eastAsia="Times New Roman" w:hAnsi="Times New Roman" w:cs="Times New Roman"/>
          <w:noProof/>
          <w:kern w:val="0"/>
          <w:sz w:val="24"/>
          <w:szCs w:val="24"/>
          <w:bdr w:val="none" w:sz="0" w:space="0" w:color="auto" w:frame="1"/>
          <w:lang w:eastAsia="fr-FR"/>
          <w14:ligatures w14:val="none"/>
        </w:rPr>
        <w:drawing>
          <wp:inline distT="0" distB="0" distL="0" distR="0" wp14:anchorId="0D70E13E" wp14:editId="1675719E">
            <wp:extent cx="7620" cy="7620"/>
            <wp:effectExtent l="0" t="0" r="0" b="0"/>
            <wp:docPr id="880804562" name="Image 1" descr="Samuel Furf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uel Furfar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hyperlink r:id="rId9" w:history="1">
        <w:r w:rsidRPr="001C4FA1">
          <w:rPr>
            <w:rFonts w:ascii="Times New Roman" w:eastAsia="Times New Roman" w:hAnsi="Times New Roman" w:cs="Times New Roman"/>
            <w:b/>
            <w:bCs/>
            <w:color w:val="0000FF"/>
            <w:kern w:val="0"/>
            <w:sz w:val="36"/>
            <w:szCs w:val="36"/>
            <w:u w:val="single"/>
            <w:lang w:eastAsia="fr-FR"/>
            <w14:ligatures w14:val="none"/>
          </w:rPr>
          <w:t>Samuel </w:t>
        </w:r>
        <w:proofErr w:type="spellStart"/>
        <w:r w:rsidRPr="001C4FA1">
          <w:rPr>
            <w:rFonts w:ascii="Times New Roman" w:eastAsia="Times New Roman" w:hAnsi="Times New Roman" w:cs="Times New Roman"/>
            <w:b/>
            <w:bCs/>
            <w:color w:val="0000FF"/>
            <w:kern w:val="0"/>
            <w:sz w:val="36"/>
            <w:szCs w:val="36"/>
            <w:u w:val="single"/>
            <w:lang w:eastAsia="fr-FR"/>
            <w14:ligatures w14:val="none"/>
          </w:rPr>
          <w:t>Furfari</w:t>
        </w:r>
        <w:proofErr w:type="spellEnd"/>
      </w:hyperlink>
    </w:p>
    <w:p w14:paraId="3F5BF99E" w14:textId="77777777" w:rsidR="001C4FA1" w:rsidRPr="001C4FA1" w:rsidRDefault="001C4FA1" w:rsidP="001C4FA1">
      <w:pPr>
        <w:shd w:val="clear" w:color="auto" w:fill="E5E5E5"/>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1C4FA1">
        <w:rPr>
          <w:rFonts w:ascii="Times New Roman" w:eastAsia="Times New Roman" w:hAnsi="Times New Roman" w:cs="Times New Roman"/>
          <w:kern w:val="0"/>
          <w:sz w:val="24"/>
          <w:szCs w:val="24"/>
          <w:lang w:eastAsia="fr-FR"/>
          <w14:ligatures w14:val="none"/>
        </w:rPr>
        <w:t xml:space="preserve">Samuel </w:t>
      </w:r>
      <w:proofErr w:type="spellStart"/>
      <w:r w:rsidRPr="001C4FA1">
        <w:rPr>
          <w:rFonts w:ascii="Times New Roman" w:eastAsia="Times New Roman" w:hAnsi="Times New Roman" w:cs="Times New Roman"/>
          <w:kern w:val="0"/>
          <w:sz w:val="24"/>
          <w:szCs w:val="24"/>
          <w:lang w:eastAsia="fr-FR"/>
          <w14:ligatures w14:val="none"/>
        </w:rPr>
        <w:t>Furfari</w:t>
      </w:r>
      <w:proofErr w:type="spellEnd"/>
      <w:r w:rsidRPr="001C4FA1">
        <w:rPr>
          <w:rFonts w:ascii="Times New Roman" w:eastAsia="Times New Roman" w:hAnsi="Times New Roman" w:cs="Times New Roman"/>
          <w:kern w:val="0"/>
          <w:sz w:val="24"/>
          <w:szCs w:val="24"/>
          <w:lang w:eastAsia="fr-FR"/>
          <w14:ligatures w14:val="none"/>
        </w:rPr>
        <w:t xml:space="preserve"> est professeur en géopolitique de l’énergie depuis 20 ans, docteur en Sciences appliquées (ULB), ingénieur polytechnicien (ULB). Il a été durant trente-six ans haut fonctionnaire à la Direction générale de l'énergie de la Commission européenne. Auteur de 18 livres.</w:t>
      </w:r>
    </w:p>
    <w:p w14:paraId="4683FD23" w14:textId="77777777" w:rsidR="001C4FA1" w:rsidRPr="001C4FA1" w:rsidRDefault="00CB6BAC" w:rsidP="001C4FA1">
      <w:pPr>
        <w:shd w:val="clear" w:color="auto" w:fill="E5E5E5"/>
        <w:spacing w:after="0" w:line="240" w:lineRule="auto"/>
        <w:rPr>
          <w:rFonts w:ascii="Times New Roman" w:eastAsia="Times New Roman" w:hAnsi="Times New Roman" w:cs="Times New Roman"/>
          <w:kern w:val="0"/>
          <w:sz w:val="24"/>
          <w:szCs w:val="24"/>
          <w:lang w:eastAsia="fr-FR"/>
          <w14:ligatures w14:val="none"/>
        </w:rPr>
      </w:pPr>
      <w:hyperlink r:id="rId10" w:history="1">
        <w:r w:rsidR="001C4FA1" w:rsidRPr="001C4FA1">
          <w:rPr>
            <w:rFonts w:ascii="Times New Roman" w:eastAsia="Times New Roman" w:hAnsi="Times New Roman" w:cs="Times New Roman"/>
            <w:color w:val="0000FF"/>
            <w:kern w:val="0"/>
            <w:sz w:val="24"/>
            <w:szCs w:val="24"/>
            <w:u w:val="single"/>
            <w:lang w:eastAsia="fr-FR"/>
            <w14:ligatures w14:val="none"/>
          </w:rPr>
          <w:t>Voir la bio »</w:t>
        </w:r>
      </w:hyperlink>
      <w:r w:rsidR="001C4FA1" w:rsidRPr="001C4FA1">
        <w:rPr>
          <w:rFonts w:ascii="Times New Roman" w:eastAsia="Times New Roman" w:hAnsi="Times New Roman" w:cs="Times New Roman"/>
          <w:kern w:val="0"/>
          <w:sz w:val="24"/>
          <w:szCs w:val="24"/>
          <w:lang w:eastAsia="fr-FR"/>
          <w14:ligatures w14:val="none"/>
        </w:rPr>
        <w:t>SUIVRE</w:t>
      </w:r>
    </w:p>
    <w:sectPr w:rsidR="001C4FA1" w:rsidRPr="001C4FA1" w:rsidSect="00D5272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527D3"/>
    <w:multiLevelType w:val="multilevel"/>
    <w:tmpl w:val="0344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FA1"/>
    <w:rsid w:val="001C4FA1"/>
    <w:rsid w:val="004815AA"/>
    <w:rsid w:val="004F4A42"/>
    <w:rsid w:val="006344D9"/>
    <w:rsid w:val="0071597C"/>
    <w:rsid w:val="00853BB5"/>
    <w:rsid w:val="00A154C2"/>
    <w:rsid w:val="00B63AF0"/>
    <w:rsid w:val="00BE00F7"/>
    <w:rsid w:val="00CB6BAC"/>
    <w:rsid w:val="00CE3AAF"/>
    <w:rsid w:val="00D527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42"/>
  </w:style>
  <w:style w:type="paragraph" w:styleId="Titre1">
    <w:name w:val="heading 1"/>
    <w:basedOn w:val="Normal"/>
    <w:link w:val="Titre1Car"/>
    <w:uiPriority w:val="9"/>
    <w:qFormat/>
    <w:rsid w:val="001C4F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C4FA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paragraph" w:styleId="Titre3">
    <w:name w:val="heading 3"/>
    <w:basedOn w:val="Normal"/>
    <w:link w:val="Titre3Car"/>
    <w:uiPriority w:val="9"/>
    <w:qFormat/>
    <w:rsid w:val="001C4FA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4F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C4FA1"/>
    <w:rPr>
      <w:rFonts w:ascii="Times New Roman" w:eastAsia="Times New Roman" w:hAnsi="Times New Roman" w:cs="Times New Roman"/>
      <w:b/>
      <w:bCs/>
      <w:kern w:val="0"/>
      <w:sz w:val="36"/>
      <w:szCs w:val="36"/>
      <w:lang w:eastAsia="fr-FR"/>
    </w:rPr>
  </w:style>
  <w:style w:type="character" w:customStyle="1" w:styleId="Titre3Car">
    <w:name w:val="Titre 3 Car"/>
    <w:basedOn w:val="Policepardfaut"/>
    <w:link w:val="Titre3"/>
    <w:uiPriority w:val="9"/>
    <w:rsid w:val="001C4FA1"/>
    <w:rPr>
      <w:rFonts w:ascii="Times New Roman" w:eastAsia="Times New Roman" w:hAnsi="Times New Roman" w:cs="Times New Roman"/>
      <w:b/>
      <w:bCs/>
      <w:kern w:val="0"/>
      <w:sz w:val="27"/>
      <w:szCs w:val="27"/>
      <w:lang w:eastAsia="fr-FR"/>
    </w:rPr>
  </w:style>
  <w:style w:type="paragraph" w:customStyle="1" w:styleId="articlepreviewsummary-sc-16faepc-4">
    <w:name w:val="articlepreview__summary-sc-16faepc-4"/>
    <w:basedOn w:val="Normal"/>
    <w:rsid w:val="001C4FA1"/>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semiHidden/>
    <w:unhideWhenUsed/>
    <w:rsid w:val="001C4FA1"/>
    <w:rPr>
      <w:color w:val="0000FF"/>
      <w:u w:val="single"/>
    </w:rPr>
  </w:style>
  <w:style w:type="character" w:customStyle="1" w:styleId="controlsbuttonlabel-sc-x2anw5-0">
    <w:name w:val="controls__buttonlabel-sc-x2anw5-0"/>
    <w:basedOn w:val="Policepardfaut"/>
    <w:rsid w:val="001C4FA1"/>
  </w:style>
  <w:style w:type="character" w:styleId="lev">
    <w:name w:val="Strong"/>
    <w:basedOn w:val="Policepardfaut"/>
    <w:uiPriority w:val="22"/>
    <w:qFormat/>
    <w:rsid w:val="001C4FA1"/>
    <w:rPr>
      <w:b/>
      <w:bCs/>
    </w:rPr>
  </w:style>
  <w:style w:type="paragraph" w:styleId="NormalWeb">
    <w:name w:val="Normal (Web)"/>
    <w:basedOn w:val="Normal"/>
    <w:uiPriority w:val="99"/>
    <w:semiHidden/>
    <w:unhideWhenUsed/>
    <w:rsid w:val="001C4FA1"/>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exploreatlanticolistelement-sc-xvknhw-1">
    <w:name w:val="exploreatlantico__listelement-sc-xvknhw-1"/>
    <w:basedOn w:val="Normal"/>
    <w:rsid w:val="001C4FA1"/>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A42"/>
  </w:style>
  <w:style w:type="paragraph" w:styleId="Titre1">
    <w:name w:val="heading 1"/>
    <w:basedOn w:val="Normal"/>
    <w:link w:val="Titre1Car"/>
    <w:uiPriority w:val="9"/>
    <w:qFormat/>
    <w:rsid w:val="001C4F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1C4FA1"/>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rPr>
  </w:style>
  <w:style w:type="paragraph" w:styleId="Titre3">
    <w:name w:val="heading 3"/>
    <w:basedOn w:val="Normal"/>
    <w:link w:val="Titre3Car"/>
    <w:uiPriority w:val="9"/>
    <w:qFormat/>
    <w:rsid w:val="001C4FA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C4FA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1C4FA1"/>
    <w:rPr>
      <w:rFonts w:ascii="Times New Roman" w:eastAsia="Times New Roman" w:hAnsi="Times New Roman" w:cs="Times New Roman"/>
      <w:b/>
      <w:bCs/>
      <w:kern w:val="0"/>
      <w:sz w:val="36"/>
      <w:szCs w:val="36"/>
      <w:lang w:eastAsia="fr-FR"/>
    </w:rPr>
  </w:style>
  <w:style w:type="character" w:customStyle="1" w:styleId="Titre3Car">
    <w:name w:val="Titre 3 Car"/>
    <w:basedOn w:val="Policepardfaut"/>
    <w:link w:val="Titre3"/>
    <w:uiPriority w:val="9"/>
    <w:rsid w:val="001C4FA1"/>
    <w:rPr>
      <w:rFonts w:ascii="Times New Roman" w:eastAsia="Times New Roman" w:hAnsi="Times New Roman" w:cs="Times New Roman"/>
      <w:b/>
      <w:bCs/>
      <w:kern w:val="0"/>
      <w:sz w:val="27"/>
      <w:szCs w:val="27"/>
      <w:lang w:eastAsia="fr-FR"/>
    </w:rPr>
  </w:style>
  <w:style w:type="paragraph" w:customStyle="1" w:styleId="articlepreviewsummary-sc-16faepc-4">
    <w:name w:val="articlepreview__summary-sc-16faepc-4"/>
    <w:basedOn w:val="Normal"/>
    <w:rsid w:val="001C4FA1"/>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ienhypertexte">
    <w:name w:val="Hyperlink"/>
    <w:basedOn w:val="Policepardfaut"/>
    <w:uiPriority w:val="99"/>
    <w:semiHidden/>
    <w:unhideWhenUsed/>
    <w:rsid w:val="001C4FA1"/>
    <w:rPr>
      <w:color w:val="0000FF"/>
      <w:u w:val="single"/>
    </w:rPr>
  </w:style>
  <w:style w:type="character" w:customStyle="1" w:styleId="controlsbuttonlabel-sc-x2anw5-0">
    <w:name w:val="controls__buttonlabel-sc-x2anw5-0"/>
    <w:basedOn w:val="Policepardfaut"/>
    <w:rsid w:val="001C4FA1"/>
  </w:style>
  <w:style w:type="character" w:styleId="lev">
    <w:name w:val="Strong"/>
    <w:basedOn w:val="Policepardfaut"/>
    <w:uiPriority w:val="22"/>
    <w:qFormat/>
    <w:rsid w:val="001C4FA1"/>
    <w:rPr>
      <w:b/>
      <w:bCs/>
    </w:rPr>
  </w:style>
  <w:style w:type="paragraph" w:styleId="NormalWeb">
    <w:name w:val="Normal (Web)"/>
    <w:basedOn w:val="Normal"/>
    <w:uiPriority w:val="99"/>
    <w:semiHidden/>
    <w:unhideWhenUsed/>
    <w:rsid w:val="001C4FA1"/>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customStyle="1" w:styleId="exploreatlanticolistelement-sc-xvknhw-1">
    <w:name w:val="exploreatlantico__listelement-sc-xvknhw-1"/>
    <w:basedOn w:val="Normal"/>
    <w:rsid w:val="001C4FA1"/>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341993">
      <w:bodyDiv w:val="1"/>
      <w:marLeft w:val="0"/>
      <w:marRight w:val="0"/>
      <w:marTop w:val="0"/>
      <w:marBottom w:val="0"/>
      <w:divBdr>
        <w:top w:val="none" w:sz="0" w:space="0" w:color="auto"/>
        <w:left w:val="none" w:sz="0" w:space="0" w:color="auto"/>
        <w:bottom w:val="none" w:sz="0" w:space="0" w:color="auto"/>
        <w:right w:val="none" w:sz="0" w:space="0" w:color="auto"/>
      </w:divBdr>
      <w:divsChild>
        <w:div w:id="1579168302">
          <w:marLeft w:val="0"/>
          <w:marRight w:val="0"/>
          <w:marTop w:val="0"/>
          <w:marBottom w:val="0"/>
          <w:divBdr>
            <w:top w:val="none" w:sz="0" w:space="0" w:color="auto"/>
            <w:left w:val="none" w:sz="0" w:space="0" w:color="auto"/>
            <w:bottom w:val="none" w:sz="0" w:space="0" w:color="auto"/>
            <w:right w:val="none" w:sz="0" w:space="0" w:color="auto"/>
          </w:divBdr>
        </w:div>
        <w:div w:id="512378289">
          <w:marLeft w:val="0"/>
          <w:marRight w:val="0"/>
          <w:marTop w:val="0"/>
          <w:marBottom w:val="0"/>
          <w:divBdr>
            <w:top w:val="none" w:sz="0" w:space="0" w:color="auto"/>
            <w:left w:val="none" w:sz="0" w:space="0" w:color="auto"/>
            <w:bottom w:val="none" w:sz="0" w:space="0" w:color="auto"/>
            <w:right w:val="none" w:sz="0" w:space="0" w:color="auto"/>
          </w:divBdr>
        </w:div>
        <w:div w:id="690179047">
          <w:marLeft w:val="0"/>
          <w:marRight w:val="0"/>
          <w:marTop w:val="0"/>
          <w:marBottom w:val="0"/>
          <w:divBdr>
            <w:top w:val="none" w:sz="0" w:space="0" w:color="auto"/>
            <w:left w:val="none" w:sz="0" w:space="0" w:color="auto"/>
            <w:bottom w:val="none" w:sz="0" w:space="0" w:color="auto"/>
            <w:right w:val="none" w:sz="0" w:space="0" w:color="auto"/>
          </w:divBdr>
        </w:div>
        <w:div w:id="1864517907">
          <w:marLeft w:val="0"/>
          <w:marRight w:val="0"/>
          <w:marTop w:val="0"/>
          <w:marBottom w:val="0"/>
          <w:divBdr>
            <w:top w:val="none" w:sz="0" w:space="0" w:color="auto"/>
            <w:left w:val="none" w:sz="0" w:space="0" w:color="auto"/>
            <w:bottom w:val="none" w:sz="0" w:space="0" w:color="auto"/>
            <w:right w:val="none" w:sz="0" w:space="0" w:color="auto"/>
          </w:divBdr>
        </w:div>
        <w:div w:id="1829511534">
          <w:marLeft w:val="0"/>
          <w:marRight w:val="0"/>
          <w:marTop w:val="0"/>
          <w:marBottom w:val="0"/>
          <w:divBdr>
            <w:top w:val="none" w:sz="0" w:space="0" w:color="auto"/>
            <w:left w:val="none" w:sz="0" w:space="0" w:color="auto"/>
            <w:bottom w:val="none" w:sz="0" w:space="0" w:color="auto"/>
            <w:right w:val="none" w:sz="0" w:space="0" w:color="auto"/>
          </w:divBdr>
        </w:div>
        <w:div w:id="760489414">
          <w:marLeft w:val="0"/>
          <w:marRight w:val="0"/>
          <w:marTop w:val="0"/>
          <w:marBottom w:val="0"/>
          <w:divBdr>
            <w:top w:val="none" w:sz="0" w:space="0" w:color="auto"/>
            <w:left w:val="none" w:sz="0" w:space="0" w:color="auto"/>
            <w:bottom w:val="none" w:sz="0" w:space="0" w:color="auto"/>
            <w:right w:val="none" w:sz="0" w:space="0" w:color="auto"/>
          </w:divBdr>
          <w:divsChild>
            <w:div w:id="1796753925">
              <w:marLeft w:val="0"/>
              <w:marRight w:val="0"/>
              <w:marTop w:val="0"/>
              <w:marBottom w:val="0"/>
              <w:divBdr>
                <w:top w:val="none" w:sz="0" w:space="0" w:color="auto"/>
                <w:left w:val="none" w:sz="0" w:space="0" w:color="auto"/>
                <w:bottom w:val="none" w:sz="0" w:space="0" w:color="auto"/>
                <w:right w:val="none" w:sz="0" w:space="0" w:color="auto"/>
              </w:divBdr>
              <w:divsChild>
                <w:div w:id="2136293668">
                  <w:marLeft w:val="0"/>
                  <w:marRight w:val="0"/>
                  <w:marTop w:val="0"/>
                  <w:marBottom w:val="0"/>
                  <w:divBdr>
                    <w:top w:val="none" w:sz="0" w:space="0" w:color="auto"/>
                    <w:left w:val="none" w:sz="0" w:space="0" w:color="auto"/>
                    <w:bottom w:val="none" w:sz="0" w:space="0" w:color="auto"/>
                    <w:right w:val="none" w:sz="0" w:space="0" w:color="auto"/>
                  </w:divBdr>
                </w:div>
                <w:div w:id="4071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486306">
          <w:marLeft w:val="0"/>
          <w:marRight w:val="0"/>
          <w:marTop w:val="0"/>
          <w:marBottom w:val="0"/>
          <w:divBdr>
            <w:top w:val="none" w:sz="0" w:space="0" w:color="auto"/>
            <w:left w:val="none" w:sz="0" w:space="0" w:color="auto"/>
            <w:bottom w:val="none" w:sz="0" w:space="0" w:color="auto"/>
            <w:right w:val="none" w:sz="0" w:space="0" w:color="auto"/>
          </w:divBdr>
          <w:divsChild>
            <w:div w:id="747464392">
              <w:marLeft w:val="0"/>
              <w:marRight w:val="0"/>
              <w:marTop w:val="0"/>
              <w:marBottom w:val="0"/>
              <w:divBdr>
                <w:top w:val="none" w:sz="0" w:space="0" w:color="auto"/>
                <w:left w:val="none" w:sz="0" w:space="0" w:color="auto"/>
                <w:bottom w:val="none" w:sz="0" w:space="0" w:color="auto"/>
                <w:right w:val="none" w:sz="0" w:space="0" w:color="auto"/>
              </w:divBdr>
            </w:div>
            <w:div w:id="761343415">
              <w:marLeft w:val="0"/>
              <w:marRight w:val="0"/>
              <w:marTop w:val="300"/>
              <w:marBottom w:val="480"/>
              <w:divBdr>
                <w:top w:val="single" w:sz="12" w:space="19" w:color="3B4357"/>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hyperlink" Target="https://twitter.com/docuverite/status/1765788560437694802?s=46&amp;t=5-_QvRAMGBxrPARNqMd92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lantico.fr/author/samuele-furfari-150218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tlantico.fr/author/samuele-furfari-1502188" TargetMode="External"/><Relationship Id="rId4" Type="http://schemas.openxmlformats.org/officeDocument/2006/relationships/settings" Target="settings.xml"/><Relationship Id="rId9" Type="http://schemas.openxmlformats.org/officeDocument/2006/relationships/hyperlink" Target="https://atlantico.fr/author/samuele-furfari-15021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1934</Words>
  <Characters>10641</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TECHNICATOME</Company>
  <LinksUpToDate>false</LinksUpToDate>
  <CharactersWithSpaces>12550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MICHAILLE</dc:creator>
  <cp:lastModifiedBy>adminta</cp:lastModifiedBy>
  <cp:revision>2</cp:revision>
  <dcterms:created xsi:type="dcterms:W3CDTF">2024-07-08T20:47:00Z</dcterms:created>
  <dcterms:modified xsi:type="dcterms:W3CDTF">2024-07-08T20:47:00Z</dcterms:modified>
</cp:coreProperties>
</file>